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60C73D">
      <w:pPr>
        <w:spacing w:line="500" w:lineRule="exact"/>
        <w:jc w:val="center"/>
        <w:rPr>
          <w:rFonts w:ascii="文星标宋" w:hAnsi="文星标宋" w:eastAsia="文星标宋" w:cs="文星标宋"/>
          <w:color w:val="000000"/>
          <w:kern w:val="0"/>
          <w:sz w:val="44"/>
          <w:szCs w:val="44"/>
        </w:rPr>
      </w:pPr>
      <w:bookmarkStart w:id="0" w:name="OLE_LINK5"/>
      <w:bookmarkStart w:id="1" w:name="OLE_LINK6"/>
      <w:r>
        <w:rPr>
          <w:rFonts w:hint="eastAsia" w:ascii="文星标宋" w:hAnsi="文星标宋" w:eastAsia="文星标宋" w:cs="文星标宋"/>
          <w:color w:val="000000"/>
          <w:kern w:val="0"/>
          <w:sz w:val="44"/>
          <w:szCs w:val="44"/>
        </w:rPr>
        <w:t>2025年政府工作报告确定的重点任务推进情况（前三季度）</w:t>
      </w:r>
    </w:p>
    <w:bookmarkEnd w:id="0"/>
    <w:bookmarkEnd w:id="1"/>
    <w:p w14:paraId="63AE0247">
      <w:pPr>
        <w:pStyle w:val="3"/>
        <w:spacing w:line="400" w:lineRule="exact"/>
        <w:ind w:left="0" w:firstLine="640"/>
      </w:pPr>
    </w:p>
    <w:tbl>
      <w:tblPr>
        <w:tblStyle w:val="4"/>
        <w:tblpPr w:leftFromText="180" w:rightFromText="180" w:vertAnchor="text" w:horzAnchor="page" w:tblpXSpec="center" w:tblpY="51"/>
        <w:tblOverlap w:val="never"/>
        <w:tblW w:w="15745" w:type="dxa"/>
        <w:jc w:val="center"/>
        <w:tblLayout w:type="fixed"/>
        <w:tblCellMar>
          <w:top w:w="0" w:type="dxa"/>
          <w:left w:w="108" w:type="dxa"/>
          <w:bottom w:w="0" w:type="dxa"/>
          <w:right w:w="108" w:type="dxa"/>
        </w:tblCellMar>
      </w:tblPr>
      <w:tblGrid>
        <w:gridCol w:w="836"/>
        <w:gridCol w:w="683"/>
        <w:gridCol w:w="2140"/>
        <w:gridCol w:w="1376"/>
        <w:gridCol w:w="5629"/>
        <w:gridCol w:w="5081"/>
      </w:tblGrid>
      <w:tr w14:paraId="0C8E18EB">
        <w:tblPrEx>
          <w:tblCellMar>
            <w:top w:w="0" w:type="dxa"/>
            <w:left w:w="108" w:type="dxa"/>
            <w:bottom w:w="0" w:type="dxa"/>
            <w:right w:w="108" w:type="dxa"/>
          </w:tblCellMar>
        </w:tblPrEx>
        <w:trPr>
          <w:cantSplit/>
          <w:trHeight w:val="680" w:hRule="atLeast"/>
          <w:jc w:val="center"/>
        </w:trPr>
        <w:tc>
          <w:tcPr>
            <w:tcW w:w="83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ABC432">
            <w:pPr>
              <w:spacing w:line="340" w:lineRule="exact"/>
              <w:jc w:val="center"/>
              <w:rPr>
                <w:rFonts w:ascii="文星仿宋" w:hAnsi="文星仿宋" w:eastAsia="文星仿宋" w:cs="文星仿宋"/>
                <w:b/>
                <w:bCs/>
                <w:sz w:val="28"/>
                <w:szCs w:val="28"/>
              </w:rPr>
            </w:pPr>
            <w:r>
              <w:rPr>
                <w:rFonts w:hint="eastAsia" w:ascii="文星仿宋" w:hAnsi="文星仿宋" w:eastAsia="文星仿宋" w:cs="文星仿宋"/>
                <w:b/>
                <w:bCs/>
                <w:sz w:val="28"/>
                <w:szCs w:val="28"/>
              </w:rPr>
              <w:t>序号</w:t>
            </w:r>
          </w:p>
        </w:tc>
        <w:tc>
          <w:tcPr>
            <w:tcW w:w="282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C12D1ED">
            <w:pPr>
              <w:spacing w:line="340" w:lineRule="exact"/>
              <w:jc w:val="center"/>
              <w:rPr>
                <w:rFonts w:ascii="文星仿宋" w:hAnsi="文星仿宋" w:eastAsia="文星仿宋" w:cs="文星仿宋"/>
                <w:b/>
                <w:bCs/>
                <w:sz w:val="28"/>
                <w:szCs w:val="28"/>
              </w:rPr>
            </w:pPr>
            <w:r>
              <w:rPr>
                <w:rFonts w:hint="eastAsia" w:ascii="文星仿宋" w:hAnsi="文星仿宋" w:eastAsia="文星仿宋" w:cs="文星仿宋"/>
                <w:b/>
                <w:bCs/>
                <w:sz w:val="28"/>
                <w:szCs w:val="28"/>
              </w:rPr>
              <w:t>主要任务</w:t>
            </w:r>
          </w:p>
        </w:tc>
        <w:tc>
          <w:tcPr>
            <w:tcW w:w="13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A38C1C">
            <w:pPr>
              <w:spacing w:line="340" w:lineRule="exact"/>
              <w:jc w:val="center"/>
              <w:rPr>
                <w:rFonts w:ascii="文星仿宋" w:hAnsi="文星仿宋" w:eastAsia="文星仿宋" w:cs="文星仿宋"/>
                <w:b/>
                <w:bCs/>
                <w:sz w:val="28"/>
                <w:szCs w:val="28"/>
              </w:rPr>
            </w:pPr>
            <w:r>
              <w:rPr>
                <w:rFonts w:hint="eastAsia" w:ascii="文星仿宋" w:hAnsi="文星仿宋" w:eastAsia="文星仿宋" w:cs="文星仿宋"/>
                <w:b/>
                <w:bCs/>
                <w:sz w:val="28"/>
                <w:szCs w:val="28"/>
              </w:rPr>
              <w:t>责任单位</w:t>
            </w:r>
          </w:p>
        </w:tc>
        <w:tc>
          <w:tcPr>
            <w:tcW w:w="56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CB67C2">
            <w:pPr>
              <w:spacing w:line="340" w:lineRule="exact"/>
              <w:jc w:val="center"/>
              <w:rPr>
                <w:rFonts w:ascii="文星仿宋" w:hAnsi="文星仿宋" w:eastAsia="文星仿宋" w:cs="文星仿宋"/>
                <w:b/>
                <w:bCs/>
                <w:sz w:val="28"/>
                <w:szCs w:val="28"/>
              </w:rPr>
            </w:pPr>
            <w:r>
              <w:rPr>
                <w:rFonts w:hint="eastAsia" w:ascii="文星仿宋" w:hAnsi="文星仿宋" w:eastAsia="文星仿宋" w:cs="文星仿宋"/>
                <w:b/>
                <w:bCs/>
                <w:sz w:val="28"/>
                <w:szCs w:val="28"/>
              </w:rPr>
              <w:t>推进情况</w:t>
            </w:r>
          </w:p>
        </w:tc>
        <w:tc>
          <w:tcPr>
            <w:tcW w:w="508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910CDA">
            <w:pPr>
              <w:spacing w:line="340" w:lineRule="exact"/>
              <w:jc w:val="center"/>
              <w:rPr>
                <w:rFonts w:ascii="文星仿宋" w:hAnsi="文星仿宋" w:eastAsia="文星仿宋" w:cs="文星仿宋"/>
                <w:b/>
                <w:bCs/>
                <w:sz w:val="28"/>
                <w:szCs w:val="28"/>
              </w:rPr>
            </w:pPr>
            <w:r>
              <w:rPr>
                <w:rFonts w:hint="eastAsia" w:ascii="文星仿宋" w:hAnsi="文星仿宋" w:eastAsia="文星仿宋" w:cs="文星仿宋"/>
                <w:b/>
                <w:bCs/>
                <w:sz w:val="28"/>
                <w:szCs w:val="28"/>
              </w:rPr>
              <w:t>后续举措</w:t>
            </w:r>
          </w:p>
        </w:tc>
      </w:tr>
      <w:tr w14:paraId="59FAC3E1">
        <w:tblPrEx>
          <w:tblCellMar>
            <w:top w:w="0" w:type="dxa"/>
            <w:left w:w="108" w:type="dxa"/>
            <w:bottom w:w="0" w:type="dxa"/>
            <w:right w:w="108" w:type="dxa"/>
          </w:tblCellMar>
        </w:tblPrEx>
        <w:trPr>
          <w:cantSplit/>
          <w:trHeight w:val="1855"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14:paraId="2BDA0BC7">
            <w:pPr>
              <w:widowControl/>
              <w:adjustRightInd w:val="0"/>
              <w:snapToGrid w:val="0"/>
              <w:spacing w:line="40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1</w:t>
            </w:r>
          </w:p>
        </w:tc>
        <w:tc>
          <w:tcPr>
            <w:tcW w:w="2823" w:type="dxa"/>
            <w:gridSpan w:val="2"/>
            <w:tcBorders>
              <w:top w:val="single" w:color="000000" w:sz="4" w:space="0"/>
              <w:left w:val="single" w:color="000000" w:sz="4" w:space="0"/>
              <w:bottom w:val="single" w:color="000000" w:sz="4" w:space="0"/>
              <w:right w:val="single" w:color="000000" w:sz="4" w:space="0"/>
            </w:tcBorders>
            <w:vAlign w:val="center"/>
          </w:tcPr>
          <w:p w14:paraId="6E077464">
            <w:pPr>
              <w:widowControl/>
              <w:adjustRightInd w:val="0"/>
              <w:snapToGrid w:val="0"/>
              <w:spacing w:line="360" w:lineRule="exact"/>
              <w:textAlignment w:val="center"/>
              <w:rPr>
                <w:rFonts w:ascii="仿宋" w:hAnsi="仿宋" w:eastAsia="仿宋" w:cs="仿宋"/>
                <w:kern w:val="0"/>
                <w:sz w:val="28"/>
                <w:szCs w:val="28"/>
              </w:rPr>
            </w:pPr>
            <w:r>
              <w:rPr>
                <w:rFonts w:hint="eastAsia" w:ascii="仿宋" w:hAnsi="仿宋" w:eastAsia="仿宋" w:cs="仿宋"/>
                <w:sz w:val="28"/>
                <w:szCs w:val="28"/>
              </w:rPr>
              <w:t>地区生产总值增长5.7%。</w:t>
            </w:r>
          </w:p>
        </w:tc>
        <w:tc>
          <w:tcPr>
            <w:tcW w:w="1376" w:type="dxa"/>
            <w:tcBorders>
              <w:top w:val="single" w:color="000000" w:sz="4" w:space="0"/>
              <w:left w:val="single" w:color="000000" w:sz="4" w:space="0"/>
              <w:bottom w:val="single" w:color="000000" w:sz="4" w:space="0"/>
              <w:right w:val="single" w:color="000000" w:sz="4" w:space="0"/>
            </w:tcBorders>
            <w:vAlign w:val="center"/>
          </w:tcPr>
          <w:p w14:paraId="2A2B20B2">
            <w:pPr>
              <w:widowControl/>
              <w:adjustRightInd w:val="0"/>
              <w:snapToGrid w:val="0"/>
              <w:spacing w:line="36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区发展改革局</w:t>
            </w:r>
          </w:p>
        </w:tc>
        <w:tc>
          <w:tcPr>
            <w:tcW w:w="5629" w:type="dxa"/>
            <w:tcBorders>
              <w:top w:val="single" w:color="000000" w:sz="4" w:space="0"/>
              <w:left w:val="single" w:color="000000" w:sz="4" w:space="0"/>
              <w:bottom w:val="single" w:color="000000" w:sz="4" w:space="0"/>
              <w:right w:val="single" w:color="000000" w:sz="4" w:space="0"/>
            </w:tcBorders>
            <w:vAlign w:val="center"/>
          </w:tcPr>
          <w:p w14:paraId="10E96404">
            <w:pPr>
              <w:widowControl/>
              <w:adjustRightInd w:val="0"/>
              <w:snapToGrid w:val="0"/>
              <w:spacing w:line="360" w:lineRule="exact"/>
              <w:ind w:firstLine="560" w:firstLineChars="200"/>
              <w:jc w:val="left"/>
              <w:textAlignment w:val="center"/>
              <w:rPr>
                <w:rFonts w:ascii="仿宋" w:hAnsi="仿宋" w:eastAsia="仿宋" w:cs="仿宋"/>
                <w:sz w:val="28"/>
                <w:szCs w:val="28"/>
              </w:rPr>
            </w:pPr>
            <w:r>
              <w:rPr>
                <w:rFonts w:hint="eastAsia" w:ascii="仿宋" w:hAnsi="仿宋" w:eastAsia="仿宋" w:cs="仿宋"/>
                <w:sz w:val="28"/>
                <w:szCs w:val="28"/>
              </w:rPr>
              <w:t>1-9月份，完成地区生产总值（GDP）665.4亿元，同比增长5.4%，增速较上半年回落0.3个百分点，高于全国0.2个百分点，低于全省0.2个百分点，与全市持平，列全市第六位，第二考核单元第二位。GDP连续四个季度保持5.0%以上增速，连续三个季度位居全市6名以上。</w:t>
            </w:r>
            <w:r>
              <w:rPr>
                <w:rFonts w:hint="eastAsia" w:ascii="仿宋" w:hAnsi="仿宋" w:eastAsia="仿宋" w:cs="仿宋"/>
                <w:sz w:val="28"/>
                <w:szCs w:val="28"/>
              </w:rPr>
              <w:tab/>
            </w:r>
          </w:p>
        </w:tc>
        <w:tc>
          <w:tcPr>
            <w:tcW w:w="5081" w:type="dxa"/>
            <w:tcBorders>
              <w:top w:val="single" w:color="000000" w:sz="4" w:space="0"/>
              <w:left w:val="single" w:color="000000" w:sz="4" w:space="0"/>
              <w:bottom w:val="single" w:color="000000" w:sz="4" w:space="0"/>
              <w:right w:val="single" w:color="000000" w:sz="4" w:space="0"/>
            </w:tcBorders>
            <w:vAlign w:val="center"/>
          </w:tcPr>
          <w:p w14:paraId="205DA473">
            <w:pPr>
              <w:widowControl/>
              <w:adjustRightInd w:val="0"/>
              <w:snapToGrid w:val="0"/>
              <w:spacing w:line="360" w:lineRule="exact"/>
              <w:ind w:firstLine="560" w:firstLineChars="200"/>
              <w:jc w:val="left"/>
              <w:textAlignment w:val="center"/>
              <w:rPr>
                <w:rFonts w:ascii="仿宋" w:hAnsi="仿宋" w:eastAsia="仿宋" w:cs="仿宋"/>
                <w:sz w:val="28"/>
                <w:szCs w:val="28"/>
              </w:rPr>
            </w:pPr>
            <w:r>
              <w:rPr>
                <w:rFonts w:hint="eastAsia" w:ascii="仿宋" w:hAnsi="仿宋" w:eastAsia="仿宋" w:cs="仿宋"/>
                <w:sz w:val="28"/>
                <w:szCs w:val="28"/>
              </w:rPr>
              <w:t>一是加快构建“433”产业体系，以龙头产业为引领，着力打造特色产业，加快谋划未来产业。二是做好经济运行分析研判工作，紧盯波动较大指标走势，联系各经济部门靠上服务企业，。</w:t>
            </w:r>
          </w:p>
        </w:tc>
      </w:tr>
      <w:tr w14:paraId="05D265D5">
        <w:tblPrEx>
          <w:tblCellMar>
            <w:top w:w="0" w:type="dxa"/>
            <w:left w:w="108" w:type="dxa"/>
            <w:bottom w:w="0" w:type="dxa"/>
            <w:right w:w="108" w:type="dxa"/>
          </w:tblCellMar>
        </w:tblPrEx>
        <w:trPr>
          <w:cantSplit/>
          <w:trHeight w:val="3115"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14:paraId="42F918AB">
            <w:pPr>
              <w:widowControl/>
              <w:adjustRightInd w:val="0"/>
              <w:snapToGrid w:val="0"/>
              <w:spacing w:line="40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2</w:t>
            </w:r>
          </w:p>
        </w:tc>
        <w:tc>
          <w:tcPr>
            <w:tcW w:w="2823" w:type="dxa"/>
            <w:gridSpan w:val="2"/>
            <w:tcBorders>
              <w:top w:val="single" w:color="000000" w:sz="4" w:space="0"/>
              <w:left w:val="single" w:color="000000" w:sz="4" w:space="0"/>
              <w:bottom w:val="single" w:color="000000" w:sz="4" w:space="0"/>
              <w:right w:val="single" w:color="000000" w:sz="4" w:space="0"/>
            </w:tcBorders>
            <w:vAlign w:val="center"/>
          </w:tcPr>
          <w:p w14:paraId="63A84406">
            <w:pPr>
              <w:widowControl/>
              <w:adjustRightInd w:val="0"/>
              <w:snapToGrid w:val="0"/>
              <w:spacing w:line="360" w:lineRule="exact"/>
              <w:textAlignment w:val="center"/>
              <w:rPr>
                <w:rFonts w:ascii="仿宋" w:hAnsi="仿宋" w:eastAsia="仿宋" w:cs="仿宋"/>
                <w:kern w:val="0"/>
                <w:sz w:val="28"/>
                <w:szCs w:val="28"/>
              </w:rPr>
            </w:pPr>
            <w:r>
              <w:rPr>
                <w:rFonts w:hint="eastAsia" w:ascii="仿宋" w:hAnsi="仿宋" w:eastAsia="仿宋" w:cs="仿宋"/>
                <w:sz w:val="28"/>
                <w:szCs w:val="28"/>
              </w:rPr>
              <w:t>一般公共预算收入增长3%。</w:t>
            </w:r>
          </w:p>
        </w:tc>
        <w:tc>
          <w:tcPr>
            <w:tcW w:w="1376" w:type="dxa"/>
            <w:tcBorders>
              <w:top w:val="single" w:color="000000" w:sz="4" w:space="0"/>
              <w:left w:val="single" w:color="000000" w:sz="4" w:space="0"/>
              <w:bottom w:val="single" w:color="000000" w:sz="4" w:space="0"/>
              <w:right w:val="single" w:color="000000" w:sz="4" w:space="0"/>
            </w:tcBorders>
            <w:vAlign w:val="center"/>
          </w:tcPr>
          <w:p w14:paraId="362A7614">
            <w:pPr>
              <w:widowControl/>
              <w:adjustRightInd w:val="0"/>
              <w:snapToGrid w:val="0"/>
              <w:spacing w:line="36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区财政局</w:t>
            </w:r>
          </w:p>
        </w:tc>
        <w:tc>
          <w:tcPr>
            <w:tcW w:w="5629" w:type="dxa"/>
            <w:tcBorders>
              <w:top w:val="single" w:color="000000" w:sz="4" w:space="0"/>
              <w:left w:val="single" w:color="000000" w:sz="4" w:space="0"/>
              <w:bottom w:val="single" w:color="000000" w:sz="4" w:space="0"/>
              <w:right w:val="single" w:color="000000" w:sz="4" w:space="0"/>
            </w:tcBorders>
            <w:vAlign w:val="center"/>
          </w:tcPr>
          <w:p w14:paraId="16E6D462">
            <w:pPr>
              <w:widowControl/>
              <w:adjustRightInd w:val="0"/>
              <w:snapToGrid w:val="0"/>
              <w:spacing w:line="360" w:lineRule="exact"/>
              <w:ind w:firstLine="560" w:firstLineChars="200"/>
              <w:jc w:val="left"/>
              <w:textAlignment w:val="center"/>
              <w:rPr>
                <w:rFonts w:ascii="仿宋" w:hAnsi="仿宋" w:eastAsia="仿宋" w:cs="仿宋"/>
                <w:sz w:val="28"/>
                <w:szCs w:val="28"/>
              </w:rPr>
            </w:pPr>
            <w:r>
              <w:rPr>
                <w:rFonts w:hint="eastAsia" w:ascii="仿宋" w:hAnsi="仿宋" w:eastAsia="仿宋" w:cs="仿宋"/>
                <w:sz w:val="28"/>
                <w:szCs w:val="28"/>
              </w:rPr>
              <w:t>1-9月份，全区一般公共预算收入累计完成432,066万元，同比增长0.87%。其中：税收收入完成371,818万元，税收收入同比增长5.13%，非税收入完成60,248万元，税收比重为86.06%。从全市范围看（含起步区），收入规模我区位列第6位，收入增幅我区位列第6位，税收收入增幅我区位列第7位，税收比重我区位列第5位。</w:t>
            </w:r>
          </w:p>
        </w:tc>
        <w:tc>
          <w:tcPr>
            <w:tcW w:w="5081" w:type="dxa"/>
            <w:tcBorders>
              <w:top w:val="single" w:color="000000" w:sz="4" w:space="0"/>
              <w:left w:val="single" w:color="000000" w:sz="4" w:space="0"/>
              <w:bottom w:val="single" w:color="000000" w:sz="4" w:space="0"/>
              <w:right w:val="single" w:color="000000" w:sz="4" w:space="0"/>
            </w:tcBorders>
            <w:vAlign w:val="center"/>
          </w:tcPr>
          <w:p w14:paraId="6CA98440">
            <w:pPr>
              <w:widowControl/>
              <w:adjustRightInd w:val="0"/>
              <w:snapToGrid w:val="0"/>
              <w:spacing w:line="360" w:lineRule="exact"/>
              <w:ind w:firstLine="560" w:firstLineChars="200"/>
              <w:jc w:val="left"/>
              <w:textAlignment w:val="center"/>
              <w:rPr>
                <w:rFonts w:ascii="仿宋" w:hAnsi="仿宋" w:eastAsia="仿宋" w:cs="仿宋"/>
                <w:sz w:val="28"/>
                <w:szCs w:val="28"/>
              </w:rPr>
            </w:pPr>
            <w:r>
              <w:rPr>
                <w:rFonts w:hint="eastAsia" w:ascii="仿宋" w:hAnsi="仿宋" w:eastAsia="仿宋" w:cs="仿宋"/>
                <w:sz w:val="28"/>
                <w:szCs w:val="28"/>
              </w:rPr>
              <w:t>下一步，区财政局将进一步强化收入组织协调，充分对接税务部门、城投集团和区直有关部门单位，强化税收分析研判，持续紧盯重大涉税问题、认真落实市级反馈涉税线索，发挥好财税、城投“三驾马车”共促收入作用，确保依法征收、应收尽收。</w:t>
            </w:r>
          </w:p>
        </w:tc>
      </w:tr>
      <w:tr w14:paraId="71C89D78">
        <w:tblPrEx>
          <w:tblCellMar>
            <w:top w:w="0" w:type="dxa"/>
            <w:left w:w="108" w:type="dxa"/>
            <w:bottom w:w="0" w:type="dxa"/>
            <w:right w:w="108" w:type="dxa"/>
          </w:tblCellMar>
        </w:tblPrEx>
        <w:trPr>
          <w:cantSplit/>
          <w:trHeight w:val="1685"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14:paraId="2055C4E5">
            <w:pPr>
              <w:widowControl/>
              <w:adjustRightInd w:val="0"/>
              <w:snapToGrid w:val="0"/>
              <w:spacing w:line="40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3</w:t>
            </w:r>
          </w:p>
        </w:tc>
        <w:tc>
          <w:tcPr>
            <w:tcW w:w="2823" w:type="dxa"/>
            <w:gridSpan w:val="2"/>
            <w:tcBorders>
              <w:top w:val="single" w:color="000000" w:sz="4" w:space="0"/>
              <w:left w:val="single" w:color="000000" w:sz="4" w:space="0"/>
              <w:bottom w:val="single" w:color="000000" w:sz="4" w:space="0"/>
              <w:right w:val="single" w:color="000000" w:sz="4" w:space="0"/>
            </w:tcBorders>
            <w:vAlign w:val="center"/>
          </w:tcPr>
          <w:p w14:paraId="3B2A884F">
            <w:pPr>
              <w:widowControl/>
              <w:adjustRightInd w:val="0"/>
              <w:snapToGrid w:val="0"/>
              <w:spacing w:line="360" w:lineRule="exact"/>
              <w:textAlignment w:val="center"/>
              <w:rPr>
                <w:rFonts w:ascii="仿宋" w:hAnsi="仿宋" w:eastAsia="仿宋" w:cs="仿宋"/>
                <w:sz w:val="28"/>
                <w:szCs w:val="28"/>
              </w:rPr>
            </w:pPr>
            <w:r>
              <w:rPr>
                <w:rFonts w:hint="eastAsia" w:ascii="仿宋" w:hAnsi="仿宋" w:eastAsia="仿宋" w:cs="仿宋"/>
                <w:sz w:val="28"/>
                <w:szCs w:val="28"/>
              </w:rPr>
              <w:t>规上工业增加值增长8%。</w:t>
            </w:r>
          </w:p>
        </w:tc>
        <w:tc>
          <w:tcPr>
            <w:tcW w:w="1376" w:type="dxa"/>
            <w:tcBorders>
              <w:top w:val="single" w:color="000000" w:sz="4" w:space="0"/>
              <w:left w:val="single" w:color="000000" w:sz="4" w:space="0"/>
              <w:bottom w:val="single" w:color="000000" w:sz="4" w:space="0"/>
              <w:right w:val="single" w:color="000000" w:sz="4" w:space="0"/>
            </w:tcBorders>
            <w:vAlign w:val="center"/>
          </w:tcPr>
          <w:p w14:paraId="2341E5C7">
            <w:pPr>
              <w:widowControl/>
              <w:adjustRightInd w:val="0"/>
              <w:snapToGrid w:val="0"/>
              <w:spacing w:line="36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区工业和信息化局</w:t>
            </w:r>
          </w:p>
        </w:tc>
        <w:tc>
          <w:tcPr>
            <w:tcW w:w="5629" w:type="dxa"/>
            <w:tcBorders>
              <w:top w:val="single" w:color="000000" w:sz="4" w:space="0"/>
              <w:left w:val="single" w:color="000000" w:sz="4" w:space="0"/>
              <w:bottom w:val="single" w:color="000000" w:sz="4" w:space="0"/>
              <w:right w:val="single" w:color="000000" w:sz="4" w:space="0"/>
            </w:tcBorders>
            <w:vAlign w:val="center"/>
          </w:tcPr>
          <w:p w14:paraId="52C0E3DE">
            <w:pPr>
              <w:widowControl/>
              <w:adjustRightInd w:val="0"/>
              <w:snapToGrid w:val="0"/>
              <w:spacing w:line="360" w:lineRule="exact"/>
              <w:ind w:firstLine="560" w:firstLineChars="200"/>
              <w:jc w:val="left"/>
              <w:textAlignment w:val="center"/>
              <w:rPr>
                <w:rFonts w:ascii="仿宋" w:hAnsi="仿宋" w:eastAsia="仿宋" w:cs="仿宋"/>
                <w:sz w:val="28"/>
                <w:szCs w:val="28"/>
              </w:rPr>
            </w:pPr>
            <w:r>
              <w:rPr>
                <w:rFonts w:hint="eastAsia" w:ascii="仿宋" w:hAnsi="仿宋" w:eastAsia="仿宋" w:cs="仿宋"/>
                <w:sz w:val="28"/>
                <w:szCs w:val="28"/>
              </w:rPr>
              <w:t>预计1-9月份规上工业增加值增长13%左右。</w:t>
            </w:r>
          </w:p>
        </w:tc>
        <w:tc>
          <w:tcPr>
            <w:tcW w:w="5081" w:type="dxa"/>
            <w:tcBorders>
              <w:top w:val="single" w:color="000000" w:sz="4" w:space="0"/>
              <w:left w:val="single" w:color="000000" w:sz="4" w:space="0"/>
              <w:bottom w:val="single" w:color="000000" w:sz="4" w:space="0"/>
              <w:right w:val="single" w:color="000000" w:sz="4" w:space="0"/>
            </w:tcBorders>
            <w:vAlign w:val="center"/>
          </w:tcPr>
          <w:p w14:paraId="1612A086">
            <w:pPr>
              <w:widowControl/>
              <w:adjustRightInd w:val="0"/>
              <w:snapToGrid w:val="0"/>
              <w:spacing w:line="360" w:lineRule="exact"/>
              <w:ind w:firstLine="560" w:firstLineChars="200"/>
              <w:jc w:val="left"/>
              <w:textAlignment w:val="center"/>
              <w:rPr>
                <w:rFonts w:ascii="仿宋" w:hAnsi="仿宋" w:eastAsia="仿宋" w:cs="仿宋"/>
                <w:sz w:val="28"/>
                <w:szCs w:val="28"/>
              </w:rPr>
            </w:pPr>
            <w:r>
              <w:rPr>
                <w:rFonts w:hint="eastAsia" w:ascii="仿宋" w:hAnsi="仿宋" w:eastAsia="仿宋" w:cs="仿宋"/>
                <w:sz w:val="28"/>
                <w:szCs w:val="28"/>
              </w:rPr>
              <w:t>紧抓指标调度完成情况，强化重点企业运行监测服务。推进工业入库纳统，跟进对拟入库企业的培育指导。持续走访优化对企业的服务，为企业发展赋能。</w:t>
            </w:r>
          </w:p>
        </w:tc>
      </w:tr>
      <w:tr w14:paraId="0D624D9D">
        <w:tblPrEx>
          <w:tblCellMar>
            <w:top w:w="0" w:type="dxa"/>
            <w:left w:w="108" w:type="dxa"/>
            <w:bottom w:w="0" w:type="dxa"/>
            <w:right w:w="108" w:type="dxa"/>
          </w:tblCellMar>
        </w:tblPrEx>
        <w:trPr>
          <w:cantSplit/>
          <w:trHeight w:val="869"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14:paraId="79C46CF1">
            <w:pPr>
              <w:widowControl/>
              <w:adjustRightInd w:val="0"/>
              <w:snapToGrid w:val="0"/>
              <w:spacing w:line="40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4</w:t>
            </w:r>
          </w:p>
        </w:tc>
        <w:tc>
          <w:tcPr>
            <w:tcW w:w="2823" w:type="dxa"/>
            <w:gridSpan w:val="2"/>
            <w:tcBorders>
              <w:top w:val="single" w:color="000000" w:sz="4" w:space="0"/>
              <w:left w:val="single" w:color="000000" w:sz="4" w:space="0"/>
              <w:bottom w:val="single" w:color="000000" w:sz="4" w:space="0"/>
              <w:right w:val="single" w:color="000000" w:sz="4" w:space="0"/>
            </w:tcBorders>
            <w:vAlign w:val="center"/>
          </w:tcPr>
          <w:p w14:paraId="11E1A734">
            <w:pPr>
              <w:widowControl/>
              <w:adjustRightInd w:val="0"/>
              <w:snapToGrid w:val="0"/>
              <w:spacing w:line="360" w:lineRule="exact"/>
              <w:textAlignment w:val="center"/>
              <w:rPr>
                <w:rFonts w:ascii="仿宋" w:hAnsi="仿宋" w:eastAsia="仿宋" w:cs="仿宋"/>
                <w:kern w:val="0"/>
                <w:sz w:val="28"/>
                <w:szCs w:val="28"/>
              </w:rPr>
            </w:pPr>
            <w:r>
              <w:rPr>
                <w:rFonts w:hint="eastAsia" w:ascii="仿宋" w:hAnsi="仿宋" w:eastAsia="仿宋" w:cs="仿宋"/>
                <w:sz w:val="28"/>
                <w:szCs w:val="28"/>
              </w:rPr>
              <w:t>固定资产投资增长5%。</w:t>
            </w:r>
          </w:p>
        </w:tc>
        <w:tc>
          <w:tcPr>
            <w:tcW w:w="1376" w:type="dxa"/>
            <w:tcBorders>
              <w:top w:val="single" w:color="000000" w:sz="4" w:space="0"/>
              <w:left w:val="single" w:color="000000" w:sz="4" w:space="0"/>
              <w:bottom w:val="single" w:color="000000" w:sz="4" w:space="0"/>
              <w:right w:val="single" w:color="000000" w:sz="4" w:space="0"/>
            </w:tcBorders>
            <w:vAlign w:val="center"/>
          </w:tcPr>
          <w:p w14:paraId="4E3BBF1C">
            <w:pPr>
              <w:widowControl/>
              <w:adjustRightInd w:val="0"/>
              <w:snapToGrid w:val="0"/>
              <w:spacing w:line="36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区发展改革局</w:t>
            </w:r>
          </w:p>
        </w:tc>
        <w:tc>
          <w:tcPr>
            <w:tcW w:w="5629" w:type="dxa"/>
            <w:tcBorders>
              <w:top w:val="single" w:color="000000" w:sz="4" w:space="0"/>
              <w:left w:val="single" w:color="000000" w:sz="4" w:space="0"/>
              <w:bottom w:val="single" w:color="000000" w:sz="4" w:space="0"/>
              <w:right w:val="single" w:color="000000" w:sz="4" w:space="0"/>
            </w:tcBorders>
            <w:vAlign w:val="center"/>
          </w:tcPr>
          <w:p w14:paraId="3CAE40DA">
            <w:pPr>
              <w:widowControl/>
              <w:adjustRightInd w:val="0"/>
              <w:snapToGrid w:val="0"/>
              <w:spacing w:line="360" w:lineRule="exact"/>
              <w:ind w:firstLine="560" w:firstLineChars="200"/>
              <w:jc w:val="left"/>
              <w:textAlignment w:val="center"/>
              <w:rPr>
                <w:rFonts w:ascii="仿宋" w:hAnsi="仿宋" w:eastAsia="仿宋" w:cs="仿宋"/>
                <w:sz w:val="28"/>
                <w:szCs w:val="28"/>
              </w:rPr>
            </w:pPr>
            <w:r>
              <w:rPr>
                <w:rFonts w:hint="eastAsia" w:ascii="仿宋" w:hAnsi="仿宋" w:eastAsia="仿宋" w:cs="仿宋"/>
                <w:sz w:val="28"/>
                <w:szCs w:val="28"/>
              </w:rPr>
              <w:t>1-9月份固定资产投资预计完成279.4亿元，增幅-3.5%。</w:t>
            </w:r>
          </w:p>
        </w:tc>
        <w:tc>
          <w:tcPr>
            <w:tcW w:w="5081" w:type="dxa"/>
            <w:tcBorders>
              <w:top w:val="single" w:color="000000" w:sz="4" w:space="0"/>
              <w:left w:val="single" w:color="000000" w:sz="4" w:space="0"/>
              <w:bottom w:val="single" w:color="000000" w:sz="4" w:space="0"/>
              <w:right w:val="single" w:color="000000" w:sz="4" w:space="0"/>
            </w:tcBorders>
            <w:vAlign w:val="center"/>
          </w:tcPr>
          <w:p w14:paraId="392A1A58">
            <w:pPr>
              <w:widowControl/>
              <w:adjustRightInd w:val="0"/>
              <w:snapToGrid w:val="0"/>
              <w:spacing w:line="360" w:lineRule="exact"/>
              <w:ind w:firstLine="560" w:firstLineChars="200"/>
              <w:jc w:val="left"/>
              <w:textAlignment w:val="center"/>
              <w:rPr>
                <w:rFonts w:ascii="仿宋" w:hAnsi="仿宋" w:eastAsia="仿宋" w:cs="仿宋"/>
                <w:sz w:val="28"/>
                <w:szCs w:val="28"/>
              </w:rPr>
            </w:pPr>
            <w:r>
              <w:rPr>
                <w:rFonts w:hint="eastAsia" w:ascii="仿宋" w:hAnsi="仿宋" w:eastAsia="仿宋" w:cs="仿宋"/>
                <w:sz w:val="28"/>
                <w:szCs w:val="28"/>
              </w:rPr>
              <w:t>加强项目摸排，全面摸排在库项目，深入挖掘项目潜力。持续强化投资入统入库工作，确保应报尽报。</w:t>
            </w:r>
          </w:p>
        </w:tc>
      </w:tr>
      <w:tr w14:paraId="506D4920">
        <w:tblPrEx>
          <w:tblCellMar>
            <w:top w:w="0" w:type="dxa"/>
            <w:left w:w="108" w:type="dxa"/>
            <w:bottom w:w="0" w:type="dxa"/>
            <w:right w:w="108" w:type="dxa"/>
          </w:tblCellMar>
        </w:tblPrEx>
        <w:trPr>
          <w:cantSplit/>
          <w:trHeight w:val="1520"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14:paraId="7208E8BE">
            <w:pPr>
              <w:widowControl/>
              <w:adjustRightInd w:val="0"/>
              <w:snapToGrid w:val="0"/>
              <w:spacing w:line="40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5</w:t>
            </w:r>
          </w:p>
        </w:tc>
        <w:tc>
          <w:tcPr>
            <w:tcW w:w="2823" w:type="dxa"/>
            <w:gridSpan w:val="2"/>
            <w:tcBorders>
              <w:top w:val="single" w:color="000000" w:sz="4" w:space="0"/>
              <w:left w:val="single" w:color="000000" w:sz="4" w:space="0"/>
              <w:bottom w:val="single" w:color="000000" w:sz="4" w:space="0"/>
              <w:right w:val="single" w:color="000000" w:sz="4" w:space="0"/>
            </w:tcBorders>
            <w:vAlign w:val="center"/>
          </w:tcPr>
          <w:p w14:paraId="046A1A83">
            <w:pPr>
              <w:widowControl/>
              <w:adjustRightInd w:val="0"/>
              <w:snapToGrid w:val="0"/>
              <w:spacing w:line="360" w:lineRule="exact"/>
              <w:textAlignment w:val="center"/>
              <w:rPr>
                <w:rFonts w:ascii="仿宋" w:hAnsi="仿宋" w:eastAsia="仿宋" w:cs="仿宋"/>
                <w:kern w:val="0"/>
                <w:sz w:val="28"/>
                <w:szCs w:val="28"/>
              </w:rPr>
            </w:pPr>
            <w:r>
              <w:rPr>
                <w:rFonts w:hint="eastAsia" w:ascii="仿宋" w:hAnsi="仿宋" w:eastAsia="仿宋" w:cs="仿宋"/>
                <w:sz w:val="28"/>
                <w:szCs w:val="28"/>
              </w:rPr>
              <w:t>社会消费品零售总额增长3.5%。</w:t>
            </w:r>
          </w:p>
        </w:tc>
        <w:tc>
          <w:tcPr>
            <w:tcW w:w="1376" w:type="dxa"/>
            <w:tcBorders>
              <w:top w:val="single" w:color="000000" w:sz="4" w:space="0"/>
              <w:left w:val="single" w:color="000000" w:sz="4" w:space="0"/>
              <w:bottom w:val="single" w:color="000000" w:sz="4" w:space="0"/>
              <w:right w:val="single" w:color="000000" w:sz="4" w:space="0"/>
            </w:tcBorders>
            <w:vAlign w:val="center"/>
          </w:tcPr>
          <w:p w14:paraId="019C00D2">
            <w:pPr>
              <w:widowControl/>
              <w:adjustRightInd w:val="0"/>
              <w:snapToGrid w:val="0"/>
              <w:spacing w:line="36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区商务局</w:t>
            </w:r>
          </w:p>
        </w:tc>
        <w:tc>
          <w:tcPr>
            <w:tcW w:w="5629" w:type="dxa"/>
            <w:tcBorders>
              <w:top w:val="single" w:color="000000" w:sz="4" w:space="0"/>
              <w:left w:val="single" w:color="000000" w:sz="4" w:space="0"/>
              <w:bottom w:val="single" w:color="000000" w:sz="4" w:space="0"/>
              <w:right w:val="single" w:color="000000" w:sz="4" w:space="0"/>
            </w:tcBorders>
            <w:vAlign w:val="center"/>
          </w:tcPr>
          <w:p w14:paraId="4B842B91">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预计1-9月份完成626.7亿元，同比增长1%。</w:t>
            </w:r>
          </w:p>
        </w:tc>
        <w:tc>
          <w:tcPr>
            <w:tcW w:w="5081" w:type="dxa"/>
            <w:tcBorders>
              <w:top w:val="single" w:color="000000" w:sz="4" w:space="0"/>
              <w:left w:val="single" w:color="000000" w:sz="4" w:space="0"/>
              <w:bottom w:val="single" w:color="000000" w:sz="4" w:space="0"/>
              <w:right w:val="single" w:color="000000" w:sz="4" w:space="0"/>
            </w:tcBorders>
            <w:vAlign w:val="center"/>
          </w:tcPr>
          <w:p w14:paraId="4135AF08">
            <w:pPr>
              <w:spacing w:line="360" w:lineRule="exact"/>
              <w:ind w:firstLine="482"/>
              <w:rPr>
                <w:rFonts w:ascii="仿宋" w:hAnsi="仿宋" w:eastAsia="仿宋" w:cs="仿宋"/>
                <w:sz w:val="28"/>
                <w:szCs w:val="28"/>
              </w:rPr>
            </w:pPr>
            <w:r>
              <w:rPr>
                <w:rFonts w:hint="eastAsia" w:ascii="仿宋" w:hAnsi="仿宋" w:eastAsia="仿宋" w:cs="仿宋"/>
                <w:sz w:val="28"/>
                <w:szCs w:val="28"/>
              </w:rPr>
              <w:t>持续强化大宗消费。用好当前市级汽车消费补贴、“泉城购”消费券活动，组织主要商圈商场开展“泉”在济南享金秋专题活动。</w:t>
            </w:r>
          </w:p>
        </w:tc>
      </w:tr>
      <w:tr w14:paraId="28B73035">
        <w:tblPrEx>
          <w:tblCellMar>
            <w:top w:w="0" w:type="dxa"/>
            <w:left w:w="108" w:type="dxa"/>
            <w:bottom w:w="0" w:type="dxa"/>
            <w:right w:w="108" w:type="dxa"/>
          </w:tblCellMar>
        </w:tblPrEx>
        <w:trPr>
          <w:cantSplit/>
          <w:trHeight w:val="2670"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14:paraId="554438F3">
            <w:pPr>
              <w:widowControl/>
              <w:adjustRightInd w:val="0"/>
              <w:snapToGrid w:val="0"/>
              <w:spacing w:line="40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6</w:t>
            </w:r>
          </w:p>
        </w:tc>
        <w:tc>
          <w:tcPr>
            <w:tcW w:w="2823" w:type="dxa"/>
            <w:gridSpan w:val="2"/>
            <w:tcBorders>
              <w:top w:val="single" w:color="000000" w:sz="4" w:space="0"/>
              <w:left w:val="single" w:color="000000" w:sz="4" w:space="0"/>
              <w:bottom w:val="single" w:color="000000" w:sz="4" w:space="0"/>
              <w:right w:val="single" w:color="000000" w:sz="4" w:space="0"/>
            </w:tcBorders>
            <w:vAlign w:val="center"/>
          </w:tcPr>
          <w:p w14:paraId="1A0DB76F">
            <w:pPr>
              <w:widowControl/>
              <w:adjustRightInd w:val="0"/>
              <w:snapToGrid w:val="0"/>
              <w:spacing w:line="360" w:lineRule="exact"/>
              <w:textAlignment w:val="center"/>
              <w:rPr>
                <w:rFonts w:ascii="仿宋" w:hAnsi="仿宋" w:eastAsia="仿宋" w:cs="仿宋"/>
                <w:kern w:val="0"/>
                <w:sz w:val="28"/>
                <w:szCs w:val="28"/>
              </w:rPr>
            </w:pPr>
            <w:r>
              <w:rPr>
                <w:rFonts w:hint="eastAsia" w:ascii="仿宋" w:hAnsi="仿宋" w:eastAsia="仿宋" w:cs="仿宋"/>
                <w:sz w:val="28"/>
                <w:szCs w:val="28"/>
              </w:rPr>
              <w:t>实际使用外资4500万美元。</w:t>
            </w:r>
          </w:p>
        </w:tc>
        <w:tc>
          <w:tcPr>
            <w:tcW w:w="1376" w:type="dxa"/>
            <w:tcBorders>
              <w:top w:val="single" w:color="000000" w:sz="4" w:space="0"/>
              <w:left w:val="single" w:color="000000" w:sz="4" w:space="0"/>
              <w:bottom w:val="single" w:color="000000" w:sz="4" w:space="0"/>
              <w:right w:val="single" w:color="000000" w:sz="4" w:space="0"/>
            </w:tcBorders>
            <w:vAlign w:val="center"/>
          </w:tcPr>
          <w:p w14:paraId="5FA87FA4">
            <w:pPr>
              <w:widowControl/>
              <w:adjustRightInd w:val="0"/>
              <w:snapToGrid w:val="0"/>
              <w:spacing w:line="36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区投资促进局</w:t>
            </w:r>
          </w:p>
        </w:tc>
        <w:tc>
          <w:tcPr>
            <w:tcW w:w="5629" w:type="dxa"/>
            <w:tcBorders>
              <w:top w:val="single" w:color="000000" w:sz="4" w:space="0"/>
              <w:left w:val="single" w:color="000000" w:sz="4" w:space="0"/>
              <w:bottom w:val="single" w:color="000000" w:sz="4" w:space="0"/>
              <w:right w:val="single" w:color="000000" w:sz="4" w:space="0"/>
            </w:tcBorders>
            <w:vAlign w:val="center"/>
          </w:tcPr>
          <w:p w14:paraId="6A265208">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1-9月份，我区实际使用外资指标完成1779万美元，占全年4500万美元任务的39.53%。</w:t>
            </w:r>
          </w:p>
        </w:tc>
        <w:tc>
          <w:tcPr>
            <w:tcW w:w="5081" w:type="dxa"/>
            <w:tcBorders>
              <w:top w:val="single" w:color="000000" w:sz="4" w:space="0"/>
              <w:left w:val="single" w:color="000000" w:sz="4" w:space="0"/>
              <w:bottom w:val="single" w:color="000000" w:sz="4" w:space="0"/>
              <w:right w:val="single" w:color="000000" w:sz="4" w:space="0"/>
            </w:tcBorders>
            <w:vAlign w:val="center"/>
          </w:tcPr>
          <w:p w14:paraId="6F4C0F55">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一是狠抓合同外资转化。持续对接投资方，加快阿瑞尼塔等项目到资。二是拓展平台招商成果。借助儒商大会等高端平台，高标准策划招商推介活动，力争取得新的招商成果。三是优化外商投资环境。对重点外资项目实行“一对一”服务，做优促进外资增长的软环境。</w:t>
            </w:r>
          </w:p>
        </w:tc>
      </w:tr>
      <w:tr w14:paraId="06987E6C">
        <w:tblPrEx>
          <w:tblCellMar>
            <w:top w:w="0" w:type="dxa"/>
            <w:left w:w="108" w:type="dxa"/>
            <w:bottom w:w="0" w:type="dxa"/>
            <w:right w:w="108" w:type="dxa"/>
          </w:tblCellMar>
        </w:tblPrEx>
        <w:trPr>
          <w:cantSplit/>
          <w:trHeight w:val="1945"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14:paraId="4ACFB856">
            <w:pPr>
              <w:widowControl/>
              <w:adjustRightInd w:val="0"/>
              <w:snapToGrid w:val="0"/>
              <w:spacing w:line="40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7</w:t>
            </w:r>
          </w:p>
        </w:tc>
        <w:tc>
          <w:tcPr>
            <w:tcW w:w="2823" w:type="dxa"/>
            <w:gridSpan w:val="2"/>
            <w:tcBorders>
              <w:top w:val="single" w:color="000000" w:sz="4" w:space="0"/>
              <w:left w:val="single" w:color="000000" w:sz="4" w:space="0"/>
              <w:bottom w:val="single" w:color="000000" w:sz="4" w:space="0"/>
              <w:right w:val="single" w:color="000000" w:sz="4" w:space="0"/>
            </w:tcBorders>
            <w:vAlign w:val="center"/>
          </w:tcPr>
          <w:p w14:paraId="2D9EE7CD">
            <w:pPr>
              <w:widowControl/>
              <w:adjustRightInd w:val="0"/>
              <w:snapToGrid w:val="0"/>
              <w:spacing w:line="360" w:lineRule="exact"/>
              <w:textAlignment w:val="center"/>
              <w:rPr>
                <w:rFonts w:ascii="仿宋" w:hAnsi="仿宋" w:eastAsia="仿宋" w:cs="仿宋"/>
                <w:kern w:val="0"/>
                <w:sz w:val="28"/>
                <w:szCs w:val="28"/>
              </w:rPr>
            </w:pPr>
            <w:r>
              <w:rPr>
                <w:rFonts w:hint="eastAsia" w:ascii="仿宋" w:hAnsi="仿宋" w:eastAsia="仿宋" w:cs="仿宋"/>
                <w:sz w:val="28"/>
                <w:szCs w:val="28"/>
              </w:rPr>
              <w:t>新增城镇就业1.95万人。</w:t>
            </w:r>
          </w:p>
        </w:tc>
        <w:tc>
          <w:tcPr>
            <w:tcW w:w="1376" w:type="dxa"/>
            <w:tcBorders>
              <w:top w:val="single" w:color="000000" w:sz="4" w:space="0"/>
              <w:left w:val="single" w:color="000000" w:sz="4" w:space="0"/>
              <w:bottom w:val="single" w:color="000000" w:sz="4" w:space="0"/>
              <w:right w:val="single" w:color="000000" w:sz="4" w:space="0"/>
            </w:tcBorders>
            <w:vAlign w:val="center"/>
          </w:tcPr>
          <w:p w14:paraId="69B413AC">
            <w:pPr>
              <w:widowControl/>
              <w:adjustRightInd w:val="0"/>
              <w:snapToGrid w:val="0"/>
              <w:spacing w:line="36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区人力资源和社会保障局</w:t>
            </w:r>
          </w:p>
        </w:tc>
        <w:tc>
          <w:tcPr>
            <w:tcW w:w="5629" w:type="dxa"/>
            <w:tcBorders>
              <w:top w:val="single" w:color="000000" w:sz="4" w:space="0"/>
              <w:left w:val="single" w:color="000000" w:sz="4" w:space="0"/>
              <w:bottom w:val="single" w:color="000000" w:sz="4" w:space="0"/>
              <w:right w:val="single" w:color="000000" w:sz="4" w:space="0"/>
            </w:tcBorders>
            <w:vAlign w:val="center"/>
          </w:tcPr>
          <w:p w14:paraId="57B59E95">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1-9月份，新增城镇就业21284人，任务完成率109.15%。</w:t>
            </w:r>
          </w:p>
        </w:tc>
        <w:tc>
          <w:tcPr>
            <w:tcW w:w="5081" w:type="dxa"/>
            <w:tcBorders>
              <w:top w:val="single" w:color="000000" w:sz="4" w:space="0"/>
              <w:left w:val="single" w:color="000000" w:sz="4" w:space="0"/>
              <w:bottom w:val="single" w:color="000000" w:sz="4" w:space="0"/>
              <w:right w:val="single" w:color="000000" w:sz="4" w:space="0"/>
            </w:tcBorders>
            <w:vAlign w:val="center"/>
          </w:tcPr>
          <w:p w14:paraId="36E89109">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继续加强就业、失业数据监测，压实工作责任，严格统计口径，加强部门对接，及时督促各街道开展城镇新增就业、失业转就业等就业信息录入，确保年底超额完成年度城镇新增就业指标。</w:t>
            </w:r>
          </w:p>
        </w:tc>
      </w:tr>
      <w:tr w14:paraId="16D4BF42">
        <w:tblPrEx>
          <w:tblCellMar>
            <w:top w:w="0" w:type="dxa"/>
            <w:left w:w="108" w:type="dxa"/>
            <w:bottom w:w="0" w:type="dxa"/>
            <w:right w:w="108" w:type="dxa"/>
          </w:tblCellMar>
        </w:tblPrEx>
        <w:trPr>
          <w:cantSplit/>
          <w:trHeight w:val="2295"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14:paraId="7F0ADA1F">
            <w:pPr>
              <w:widowControl/>
              <w:adjustRightInd w:val="0"/>
              <w:snapToGrid w:val="0"/>
              <w:spacing w:line="400" w:lineRule="exact"/>
              <w:jc w:val="center"/>
              <w:textAlignment w:val="center"/>
              <w:rPr>
                <w:rFonts w:ascii="仿宋" w:hAnsi="仿宋" w:eastAsia="仿宋" w:cs="仿宋"/>
                <w:sz w:val="28"/>
                <w:szCs w:val="28"/>
              </w:rPr>
            </w:pPr>
            <w:r>
              <w:rPr>
                <w:rFonts w:hint="eastAsia" w:ascii="仿宋" w:hAnsi="仿宋" w:eastAsia="仿宋" w:cs="仿宋"/>
                <w:kern w:val="0"/>
                <w:sz w:val="28"/>
                <w:szCs w:val="28"/>
              </w:rPr>
              <w:t>8</w:t>
            </w:r>
          </w:p>
        </w:tc>
        <w:tc>
          <w:tcPr>
            <w:tcW w:w="683" w:type="dxa"/>
            <w:vMerge w:val="restart"/>
            <w:tcBorders>
              <w:top w:val="single" w:color="000000" w:sz="4" w:space="0"/>
              <w:left w:val="single" w:color="000000" w:sz="4" w:space="0"/>
              <w:right w:val="single" w:color="000000" w:sz="4" w:space="0"/>
            </w:tcBorders>
            <w:vAlign w:val="center"/>
          </w:tcPr>
          <w:p w14:paraId="4165E541">
            <w:pPr>
              <w:widowControl/>
              <w:adjustRightInd w:val="0"/>
              <w:snapToGrid w:val="0"/>
              <w:spacing w:line="360" w:lineRule="exact"/>
              <w:jc w:val="left"/>
              <w:rPr>
                <w:rFonts w:ascii="仿宋" w:hAnsi="仿宋" w:eastAsia="仿宋" w:cs="仿宋"/>
                <w:sz w:val="28"/>
                <w:szCs w:val="28"/>
              </w:rPr>
            </w:pPr>
            <w:r>
              <w:rPr>
                <w:rFonts w:hint="eastAsia" w:ascii="仿宋" w:hAnsi="仿宋" w:eastAsia="仿宋" w:cs="仿宋"/>
                <w:sz w:val="28"/>
                <w:szCs w:val="28"/>
              </w:rPr>
              <w:t>扩大有效投资</w:t>
            </w:r>
          </w:p>
        </w:tc>
        <w:tc>
          <w:tcPr>
            <w:tcW w:w="2140" w:type="dxa"/>
            <w:tcBorders>
              <w:top w:val="single" w:color="000000" w:sz="4" w:space="0"/>
              <w:left w:val="single" w:color="000000" w:sz="4" w:space="0"/>
              <w:bottom w:val="single" w:color="000000" w:sz="4" w:space="0"/>
              <w:right w:val="single" w:color="000000" w:sz="4" w:space="0"/>
            </w:tcBorders>
            <w:vAlign w:val="center"/>
          </w:tcPr>
          <w:p w14:paraId="15894ACA">
            <w:pPr>
              <w:widowControl/>
              <w:adjustRightInd w:val="0"/>
              <w:snapToGrid w:val="0"/>
              <w:spacing w:line="360" w:lineRule="exact"/>
              <w:textAlignment w:val="center"/>
              <w:rPr>
                <w:rFonts w:ascii="仿宋" w:hAnsi="仿宋" w:eastAsia="仿宋" w:cs="仿宋"/>
                <w:sz w:val="28"/>
                <w:szCs w:val="28"/>
              </w:rPr>
            </w:pPr>
            <w:r>
              <w:rPr>
                <w:rFonts w:hint="eastAsia" w:ascii="仿宋" w:hAnsi="仿宋" w:eastAsia="仿宋" w:cs="仿宋"/>
                <w:sz w:val="28"/>
                <w:szCs w:val="28"/>
              </w:rPr>
              <w:t>新谋划储备优质项目不少于100个</w:t>
            </w:r>
            <w:r>
              <w:rPr>
                <w:rFonts w:hint="eastAsia" w:ascii="仿宋" w:hAnsi="仿宋" w:eastAsia="仿宋" w:cs="仿宋"/>
                <w:kern w:val="0"/>
                <w:sz w:val="28"/>
                <w:szCs w:val="28"/>
              </w:rPr>
              <w:t>。</w:t>
            </w:r>
          </w:p>
        </w:tc>
        <w:tc>
          <w:tcPr>
            <w:tcW w:w="1376" w:type="dxa"/>
            <w:tcBorders>
              <w:top w:val="single" w:color="000000" w:sz="4" w:space="0"/>
              <w:left w:val="single" w:color="000000" w:sz="4" w:space="0"/>
              <w:bottom w:val="single" w:color="000000" w:sz="4" w:space="0"/>
              <w:right w:val="single" w:color="000000" w:sz="4" w:space="0"/>
            </w:tcBorders>
            <w:vAlign w:val="center"/>
          </w:tcPr>
          <w:p w14:paraId="5E04F1C3">
            <w:pPr>
              <w:widowControl/>
              <w:adjustRightInd w:val="0"/>
              <w:snapToGrid w:val="0"/>
              <w:spacing w:line="36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区发展改革局</w:t>
            </w:r>
          </w:p>
        </w:tc>
        <w:tc>
          <w:tcPr>
            <w:tcW w:w="5629" w:type="dxa"/>
            <w:tcBorders>
              <w:top w:val="single" w:color="000000" w:sz="4" w:space="0"/>
              <w:left w:val="single" w:color="000000" w:sz="4" w:space="0"/>
              <w:bottom w:val="single" w:color="000000" w:sz="4" w:space="0"/>
              <w:right w:val="single" w:color="000000" w:sz="4" w:space="0"/>
            </w:tcBorders>
            <w:vAlign w:val="center"/>
          </w:tcPr>
          <w:p w14:paraId="177010E4">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1-9月份，共谋划项目172个，总投资1001.27亿元，其中重点产业类121个，总投资701.20亿元，社会民生类26个，总投资88.75亿元，基础设施类项目16个，总投资13.82亿元；平台支撑类项目9个，总投资197.50亿元。</w:t>
            </w:r>
          </w:p>
        </w:tc>
        <w:tc>
          <w:tcPr>
            <w:tcW w:w="5081" w:type="dxa"/>
            <w:tcBorders>
              <w:top w:val="single" w:color="000000" w:sz="4" w:space="0"/>
              <w:left w:val="single" w:color="000000" w:sz="4" w:space="0"/>
              <w:bottom w:val="single" w:color="000000" w:sz="4" w:space="0"/>
              <w:right w:val="single" w:color="000000" w:sz="4" w:space="0"/>
            </w:tcBorders>
            <w:vAlign w:val="center"/>
          </w:tcPr>
          <w:p w14:paraId="3734E3B5">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强化精准谋划，提升项目储备质量。重点围绕总投资500万元以上、一年内可纳统的实体项目，推动谋划工作从“概念文本”向“实施蓝图”转变。</w:t>
            </w:r>
          </w:p>
        </w:tc>
      </w:tr>
      <w:tr w14:paraId="2C2F159B">
        <w:tblPrEx>
          <w:tblCellMar>
            <w:top w:w="0" w:type="dxa"/>
            <w:left w:w="108" w:type="dxa"/>
            <w:bottom w:w="0" w:type="dxa"/>
            <w:right w:w="108" w:type="dxa"/>
          </w:tblCellMar>
        </w:tblPrEx>
        <w:trPr>
          <w:cantSplit/>
          <w:trHeight w:val="6618"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14:paraId="1C87353E">
            <w:pPr>
              <w:widowControl/>
              <w:adjustRightInd w:val="0"/>
              <w:snapToGrid w:val="0"/>
              <w:spacing w:line="40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9</w:t>
            </w:r>
          </w:p>
        </w:tc>
        <w:tc>
          <w:tcPr>
            <w:tcW w:w="683" w:type="dxa"/>
            <w:vMerge w:val="continue"/>
            <w:tcBorders>
              <w:top w:val="single" w:color="000000" w:sz="4" w:space="0"/>
              <w:left w:val="single" w:color="000000" w:sz="4" w:space="0"/>
              <w:bottom w:val="single" w:color="000000" w:sz="4" w:space="0"/>
              <w:right w:val="single" w:color="000000" w:sz="4" w:space="0"/>
            </w:tcBorders>
            <w:vAlign w:val="center"/>
          </w:tcPr>
          <w:p w14:paraId="7AD3DE5C">
            <w:pPr>
              <w:widowControl/>
              <w:adjustRightInd w:val="0"/>
              <w:snapToGrid w:val="0"/>
              <w:spacing w:line="360" w:lineRule="exact"/>
              <w:jc w:val="left"/>
              <w:rPr>
                <w:rFonts w:ascii="仿宋" w:hAnsi="仿宋" w:eastAsia="仿宋" w:cs="仿宋"/>
                <w:sz w:val="28"/>
                <w:szCs w:val="28"/>
              </w:rPr>
            </w:pPr>
          </w:p>
        </w:tc>
        <w:tc>
          <w:tcPr>
            <w:tcW w:w="2140" w:type="dxa"/>
            <w:tcBorders>
              <w:top w:val="single" w:color="000000" w:sz="4" w:space="0"/>
              <w:left w:val="single" w:color="000000" w:sz="4" w:space="0"/>
              <w:bottom w:val="single" w:color="000000" w:sz="4" w:space="0"/>
              <w:right w:val="single" w:color="000000" w:sz="4" w:space="0"/>
            </w:tcBorders>
            <w:vAlign w:val="center"/>
          </w:tcPr>
          <w:p w14:paraId="3333304B">
            <w:pPr>
              <w:widowControl/>
              <w:adjustRightInd w:val="0"/>
              <w:snapToGrid w:val="0"/>
              <w:spacing w:line="360" w:lineRule="exact"/>
              <w:textAlignment w:val="center"/>
              <w:rPr>
                <w:rFonts w:ascii="仿宋" w:hAnsi="仿宋" w:eastAsia="仿宋" w:cs="仿宋"/>
                <w:kern w:val="0"/>
                <w:sz w:val="28"/>
                <w:szCs w:val="28"/>
              </w:rPr>
            </w:pPr>
            <w:r>
              <w:rPr>
                <w:rFonts w:hint="eastAsia" w:ascii="仿宋" w:hAnsi="仿宋" w:eastAsia="仿宋" w:cs="仿宋"/>
                <w:sz w:val="28"/>
                <w:szCs w:val="28"/>
              </w:rPr>
              <w:t>争取政策性资金额度50亿元以上。</w:t>
            </w:r>
          </w:p>
        </w:tc>
        <w:tc>
          <w:tcPr>
            <w:tcW w:w="1376" w:type="dxa"/>
            <w:tcBorders>
              <w:top w:val="single" w:color="000000" w:sz="4" w:space="0"/>
              <w:left w:val="single" w:color="000000" w:sz="4" w:space="0"/>
              <w:bottom w:val="single" w:color="000000" w:sz="4" w:space="0"/>
              <w:right w:val="single" w:color="000000" w:sz="4" w:space="0"/>
            </w:tcBorders>
            <w:vAlign w:val="center"/>
          </w:tcPr>
          <w:p w14:paraId="379F4C2B">
            <w:pPr>
              <w:widowControl/>
              <w:adjustRightInd w:val="0"/>
              <w:snapToGrid w:val="0"/>
              <w:spacing w:line="36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区财政局</w:t>
            </w:r>
          </w:p>
          <w:p w14:paraId="78DF9621">
            <w:pPr>
              <w:widowControl/>
              <w:adjustRightInd w:val="0"/>
              <w:snapToGrid w:val="0"/>
              <w:spacing w:line="360" w:lineRule="exact"/>
              <w:jc w:val="center"/>
              <w:textAlignment w:val="center"/>
              <w:rPr>
                <w:rFonts w:ascii="仿宋" w:hAnsi="仿宋" w:eastAsia="仿宋" w:cs="仿宋"/>
                <w:kern w:val="0"/>
                <w:sz w:val="28"/>
                <w:szCs w:val="28"/>
              </w:rPr>
            </w:pPr>
          </w:p>
          <w:p w14:paraId="4D3C0789">
            <w:pPr>
              <w:widowControl/>
              <w:adjustRightInd w:val="0"/>
              <w:snapToGrid w:val="0"/>
              <w:spacing w:line="36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区发展改革局</w:t>
            </w:r>
          </w:p>
          <w:p w14:paraId="7E464D68">
            <w:pPr>
              <w:widowControl/>
              <w:adjustRightInd w:val="0"/>
              <w:snapToGrid w:val="0"/>
              <w:spacing w:line="360" w:lineRule="exact"/>
              <w:jc w:val="center"/>
              <w:textAlignment w:val="center"/>
              <w:rPr>
                <w:rFonts w:ascii="仿宋" w:hAnsi="仿宋" w:eastAsia="仿宋" w:cs="仿宋"/>
                <w:kern w:val="0"/>
                <w:sz w:val="28"/>
                <w:szCs w:val="28"/>
              </w:rPr>
            </w:pPr>
          </w:p>
          <w:p w14:paraId="6F58538F">
            <w:pPr>
              <w:widowControl/>
              <w:adjustRightInd w:val="0"/>
              <w:snapToGrid w:val="0"/>
              <w:spacing w:line="36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区城投集团</w:t>
            </w:r>
          </w:p>
        </w:tc>
        <w:tc>
          <w:tcPr>
            <w:tcW w:w="5629" w:type="dxa"/>
            <w:tcBorders>
              <w:top w:val="single" w:color="000000" w:sz="4" w:space="0"/>
              <w:left w:val="single" w:color="000000" w:sz="4" w:space="0"/>
              <w:bottom w:val="single" w:color="000000" w:sz="4" w:space="0"/>
              <w:right w:val="single" w:color="000000" w:sz="4" w:space="0"/>
            </w:tcBorders>
            <w:vAlign w:val="center"/>
          </w:tcPr>
          <w:p w14:paraId="2DD548C0">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1-9月份，过审中央预算内资金项目1个（智能厨房家电供应链转型）总投资6800万元，获批资金720万元；政府专项债项目20个，总投资364.83亿元，获批资金额度18.19亿元；过审二机床创新能力项目等超长期特别国债项目2个，总投资4895万元，获批资金975万元；过审政府专项债项目8个，2025年获得额度13.39亿元，已发行7.45亿元，已到位约6亿元；已申报第二批政策性金融工具项目2个（市立五院智慧停车场、全民健身中心），申报资金约1.33亿元。国家开发银行：吴家堡三村整合城中村改造项目已于2024年取得专项借款批复额度32亿元，2025年发放11.838亿元，累计发放24.198亿元。中国农业发展银行：安置六区项目取得专项借款批复额度20.66亿元，2025年累计发放19.57亿元。截至目前，既有授信20.66亿元已全部发放完毕。</w:t>
            </w:r>
          </w:p>
        </w:tc>
        <w:tc>
          <w:tcPr>
            <w:tcW w:w="5081" w:type="dxa"/>
            <w:tcBorders>
              <w:top w:val="single" w:color="000000" w:sz="4" w:space="0"/>
              <w:left w:val="single" w:color="000000" w:sz="4" w:space="0"/>
              <w:bottom w:val="single" w:color="000000" w:sz="4" w:space="0"/>
              <w:right w:val="single" w:color="000000" w:sz="4" w:space="0"/>
            </w:tcBorders>
            <w:vAlign w:val="center"/>
          </w:tcPr>
          <w:p w14:paraId="2DABA037">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已新策划包装济南国际医学中心养老服务能力提升项目和济南国际医学中心科创片区现代物流产业园基础设施建设项目，已完成立项并申报第三批政府专项债。正在包装策划济南国际医学中心医疗硅谷片区排水防涝能力提升建设项目，计划申报政府专项债及超长期特别国债。根据项目安置房建设阶段实际工程进度，进行剩余7.802亿元专项借款资金的申请及拨付工作。</w:t>
            </w:r>
          </w:p>
        </w:tc>
      </w:tr>
      <w:tr w14:paraId="73BF7720">
        <w:tblPrEx>
          <w:tblCellMar>
            <w:top w:w="0" w:type="dxa"/>
            <w:left w:w="108" w:type="dxa"/>
            <w:bottom w:w="0" w:type="dxa"/>
            <w:right w:w="108" w:type="dxa"/>
          </w:tblCellMar>
        </w:tblPrEx>
        <w:trPr>
          <w:cantSplit/>
          <w:trHeight w:val="4746"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14:paraId="2F20BAF2">
            <w:pPr>
              <w:widowControl/>
              <w:adjustRightInd w:val="0"/>
              <w:snapToGrid w:val="0"/>
              <w:spacing w:line="40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10</w:t>
            </w:r>
          </w:p>
        </w:tc>
        <w:tc>
          <w:tcPr>
            <w:tcW w:w="683" w:type="dxa"/>
            <w:vMerge w:val="continue"/>
            <w:tcBorders>
              <w:top w:val="single" w:color="000000" w:sz="4" w:space="0"/>
              <w:left w:val="single" w:color="000000" w:sz="4" w:space="0"/>
              <w:bottom w:val="single" w:color="000000" w:sz="4" w:space="0"/>
              <w:right w:val="single" w:color="000000" w:sz="4" w:space="0"/>
            </w:tcBorders>
            <w:vAlign w:val="center"/>
          </w:tcPr>
          <w:p w14:paraId="7345CAEE">
            <w:pPr>
              <w:widowControl/>
              <w:adjustRightInd w:val="0"/>
              <w:snapToGrid w:val="0"/>
              <w:spacing w:line="360" w:lineRule="exact"/>
              <w:jc w:val="left"/>
              <w:rPr>
                <w:rFonts w:ascii="仿宋" w:hAnsi="仿宋" w:eastAsia="仿宋" w:cs="仿宋"/>
                <w:sz w:val="28"/>
                <w:szCs w:val="28"/>
              </w:rPr>
            </w:pPr>
          </w:p>
        </w:tc>
        <w:tc>
          <w:tcPr>
            <w:tcW w:w="2140" w:type="dxa"/>
            <w:tcBorders>
              <w:top w:val="single" w:color="000000" w:sz="4" w:space="0"/>
              <w:left w:val="single" w:color="000000" w:sz="4" w:space="0"/>
              <w:bottom w:val="single" w:color="000000" w:sz="4" w:space="0"/>
              <w:right w:val="single" w:color="000000" w:sz="4" w:space="0"/>
            </w:tcBorders>
            <w:vAlign w:val="center"/>
          </w:tcPr>
          <w:p w14:paraId="6906E958">
            <w:pPr>
              <w:widowControl/>
              <w:adjustRightInd w:val="0"/>
              <w:snapToGrid w:val="0"/>
              <w:spacing w:line="360" w:lineRule="exact"/>
              <w:textAlignment w:val="center"/>
              <w:rPr>
                <w:rFonts w:ascii="仿宋" w:hAnsi="仿宋" w:eastAsia="仿宋" w:cs="仿宋"/>
                <w:kern w:val="0"/>
                <w:sz w:val="28"/>
                <w:szCs w:val="28"/>
              </w:rPr>
            </w:pPr>
            <w:r>
              <w:rPr>
                <w:rFonts w:hint="eastAsia" w:ascii="仿宋" w:hAnsi="仿宋" w:eastAsia="仿宋" w:cs="仿宋"/>
                <w:sz w:val="28"/>
                <w:szCs w:val="28"/>
              </w:rPr>
              <w:t>签约过亿元项目30个以上。</w:t>
            </w:r>
          </w:p>
        </w:tc>
        <w:tc>
          <w:tcPr>
            <w:tcW w:w="1376" w:type="dxa"/>
            <w:tcBorders>
              <w:top w:val="single" w:color="000000" w:sz="4" w:space="0"/>
              <w:left w:val="single" w:color="000000" w:sz="4" w:space="0"/>
              <w:bottom w:val="single" w:color="000000" w:sz="4" w:space="0"/>
              <w:right w:val="single" w:color="000000" w:sz="4" w:space="0"/>
            </w:tcBorders>
            <w:vAlign w:val="center"/>
          </w:tcPr>
          <w:p w14:paraId="384A83B2">
            <w:pPr>
              <w:widowControl/>
              <w:adjustRightInd w:val="0"/>
              <w:snapToGrid w:val="0"/>
              <w:spacing w:line="36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济南槐荫经济开发区管委会</w:t>
            </w:r>
          </w:p>
          <w:p w14:paraId="4A5DE22F">
            <w:pPr>
              <w:widowControl/>
              <w:adjustRightInd w:val="0"/>
              <w:snapToGrid w:val="0"/>
              <w:spacing w:line="360" w:lineRule="exact"/>
              <w:jc w:val="center"/>
              <w:textAlignment w:val="center"/>
              <w:rPr>
                <w:rFonts w:ascii="仿宋" w:hAnsi="仿宋" w:eastAsia="仿宋" w:cs="仿宋"/>
                <w:kern w:val="0"/>
                <w:sz w:val="28"/>
                <w:szCs w:val="28"/>
              </w:rPr>
            </w:pPr>
          </w:p>
          <w:p w14:paraId="2CAD54C6">
            <w:pPr>
              <w:widowControl/>
              <w:adjustRightInd w:val="0"/>
              <w:snapToGrid w:val="0"/>
              <w:spacing w:line="36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济南西站枢纽经济商务区</w:t>
            </w:r>
          </w:p>
          <w:p w14:paraId="1BA972DA">
            <w:pPr>
              <w:widowControl/>
              <w:adjustRightInd w:val="0"/>
              <w:snapToGrid w:val="0"/>
              <w:spacing w:line="360" w:lineRule="exact"/>
              <w:jc w:val="center"/>
              <w:textAlignment w:val="center"/>
              <w:rPr>
                <w:rFonts w:ascii="仿宋" w:hAnsi="仿宋" w:eastAsia="仿宋" w:cs="仿宋"/>
                <w:kern w:val="0"/>
                <w:sz w:val="28"/>
                <w:szCs w:val="28"/>
              </w:rPr>
            </w:pPr>
          </w:p>
          <w:p w14:paraId="7CC9CDB8">
            <w:pPr>
              <w:widowControl/>
              <w:adjustRightInd w:val="0"/>
              <w:snapToGrid w:val="0"/>
              <w:spacing w:line="36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区投资促进局</w:t>
            </w:r>
          </w:p>
        </w:tc>
        <w:tc>
          <w:tcPr>
            <w:tcW w:w="5629" w:type="dxa"/>
            <w:tcBorders>
              <w:top w:val="single" w:color="000000" w:sz="4" w:space="0"/>
              <w:left w:val="single" w:color="000000" w:sz="4" w:space="0"/>
              <w:bottom w:val="single" w:color="000000" w:sz="4" w:space="0"/>
              <w:right w:val="single" w:color="000000" w:sz="4" w:space="0"/>
            </w:tcBorders>
            <w:vAlign w:val="center"/>
          </w:tcPr>
          <w:p w14:paraId="056EBF6F">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1-9月份，全区共签约落地山东省肿瘤防治研究院技术创新与临床转换工程、博墨热能济南总部、迈瑞医疗济南合作项目等过亿元市级招商引资项目24个。</w:t>
            </w:r>
          </w:p>
        </w:tc>
        <w:tc>
          <w:tcPr>
            <w:tcW w:w="5081" w:type="dxa"/>
            <w:tcBorders>
              <w:top w:val="single" w:color="000000" w:sz="4" w:space="0"/>
              <w:left w:val="single" w:color="000000" w:sz="4" w:space="0"/>
              <w:bottom w:val="single" w:color="000000" w:sz="4" w:space="0"/>
              <w:right w:val="single" w:color="000000" w:sz="4" w:space="0"/>
            </w:tcBorders>
            <w:vAlign w:val="center"/>
          </w:tcPr>
          <w:p w14:paraId="24FFE98F">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一是加强项目谋划策划。结合全市“13+34”产业链体系和新质生产力发展方向，配合各产业专班，加强对产业招商的高起点、高标准谋划。二是着力提升到资实效。进一步加强注册类项目招引质效，加快推动项目实际到资，及时发挥招引项目经济效益和社会效益。三是加强基金招引模式。积极开展各类对接洽谈活动，为基金提供项目、资源信息对接服务，以“基金+股权+项目”机制助推优质项目落地。</w:t>
            </w:r>
          </w:p>
        </w:tc>
      </w:tr>
      <w:tr w14:paraId="1205D99F">
        <w:tblPrEx>
          <w:tblCellMar>
            <w:top w:w="0" w:type="dxa"/>
            <w:left w:w="108" w:type="dxa"/>
            <w:bottom w:w="0" w:type="dxa"/>
            <w:right w:w="108" w:type="dxa"/>
          </w:tblCellMar>
        </w:tblPrEx>
        <w:trPr>
          <w:cantSplit/>
          <w:trHeight w:val="3460"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14:paraId="3931900B">
            <w:pPr>
              <w:widowControl/>
              <w:adjustRightInd w:val="0"/>
              <w:snapToGrid w:val="0"/>
              <w:spacing w:line="40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11</w:t>
            </w:r>
          </w:p>
        </w:tc>
        <w:tc>
          <w:tcPr>
            <w:tcW w:w="683" w:type="dxa"/>
            <w:vMerge w:val="continue"/>
            <w:tcBorders>
              <w:top w:val="single" w:color="000000" w:sz="4" w:space="0"/>
              <w:left w:val="single" w:color="000000" w:sz="4" w:space="0"/>
              <w:bottom w:val="single" w:color="000000" w:sz="4" w:space="0"/>
              <w:right w:val="single" w:color="000000" w:sz="4" w:space="0"/>
            </w:tcBorders>
            <w:vAlign w:val="center"/>
          </w:tcPr>
          <w:p w14:paraId="51D4D1E8">
            <w:pPr>
              <w:widowControl/>
              <w:adjustRightInd w:val="0"/>
              <w:snapToGrid w:val="0"/>
              <w:spacing w:line="360" w:lineRule="exact"/>
              <w:jc w:val="left"/>
              <w:rPr>
                <w:rFonts w:ascii="仿宋" w:hAnsi="仿宋" w:eastAsia="仿宋" w:cs="仿宋"/>
                <w:sz w:val="28"/>
                <w:szCs w:val="28"/>
              </w:rPr>
            </w:pPr>
          </w:p>
        </w:tc>
        <w:tc>
          <w:tcPr>
            <w:tcW w:w="2140" w:type="dxa"/>
            <w:tcBorders>
              <w:top w:val="single" w:color="000000" w:sz="4" w:space="0"/>
              <w:left w:val="single" w:color="000000" w:sz="4" w:space="0"/>
              <w:bottom w:val="single" w:color="000000" w:sz="4" w:space="0"/>
              <w:right w:val="single" w:color="000000" w:sz="4" w:space="0"/>
            </w:tcBorders>
            <w:vAlign w:val="center"/>
          </w:tcPr>
          <w:p w14:paraId="0844C42F">
            <w:pPr>
              <w:widowControl/>
              <w:adjustRightInd w:val="0"/>
              <w:snapToGrid w:val="0"/>
              <w:spacing w:line="360" w:lineRule="exact"/>
              <w:textAlignment w:val="center"/>
              <w:rPr>
                <w:rFonts w:ascii="仿宋" w:hAnsi="仿宋" w:eastAsia="仿宋" w:cs="仿宋"/>
                <w:kern w:val="0"/>
                <w:sz w:val="28"/>
                <w:szCs w:val="28"/>
              </w:rPr>
            </w:pPr>
            <w:r>
              <w:rPr>
                <w:rFonts w:hint="eastAsia" w:ascii="仿宋" w:hAnsi="仿宋" w:eastAsia="仿宋" w:cs="仿宋"/>
                <w:sz w:val="28"/>
                <w:szCs w:val="28"/>
              </w:rPr>
              <w:t>统筹推进总投资3017亿元的216个重点项目（续建项目建设114个；新建项目52个，储备项目50个）。</w:t>
            </w:r>
          </w:p>
        </w:tc>
        <w:tc>
          <w:tcPr>
            <w:tcW w:w="1376" w:type="dxa"/>
            <w:tcBorders>
              <w:top w:val="single" w:color="000000" w:sz="4" w:space="0"/>
              <w:left w:val="single" w:color="000000" w:sz="4" w:space="0"/>
              <w:bottom w:val="single" w:color="000000" w:sz="4" w:space="0"/>
              <w:right w:val="single" w:color="000000" w:sz="4" w:space="0"/>
            </w:tcBorders>
            <w:vAlign w:val="center"/>
          </w:tcPr>
          <w:p w14:paraId="45F02EEE">
            <w:pPr>
              <w:widowControl/>
              <w:adjustRightInd w:val="0"/>
              <w:snapToGrid w:val="0"/>
              <w:spacing w:line="360" w:lineRule="exact"/>
              <w:jc w:val="center"/>
              <w:textAlignment w:val="center"/>
              <w:rPr>
                <w:rFonts w:ascii="仿宋" w:hAnsi="仿宋" w:eastAsia="仿宋" w:cs="仿宋"/>
                <w:kern w:val="0"/>
                <w:sz w:val="28"/>
                <w:szCs w:val="28"/>
                <w:lang w:val="zh-CN"/>
              </w:rPr>
            </w:pPr>
            <w:r>
              <w:rPr>
                <w:rFonts w:hint="eastAsia" w:ascii="仿宋" w:hAnsi="仿宋" w:eastAsia="仿宋" w:cs="仿宋"/>
                <w:kern w:val="0"/>
                <w:sz w:val="28"/>
                <w:szCs w:val="28"/>
              </w:rPr>
              <w:t>区发展改革局</w:t>
            </w:r>
          </w:p>
        </w:tc>
        <w:tc>
          <w:tcPr>
            <w:tcW w:w="5629" w:type="dxa"/>
            <w:tcBorders>
              <w:top w:val="single" w:color="000000" w:sz="4" w:space="0"/>
              <w:left w:val="single" w:color="000000" w:sz="4" w:space="0"/>
              <w:bottom w:val="single" w:color="000000" w:sz="4" w:space="0"/>
              <w:right w:val="single" w:color="000000" w:sz="4" w:space="0"/>
            </w:tcBorders>
            <w:vAlign w:val="center"/>
          </w:tcPr>
          <w:p w14:paraId="5F383668">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216个重点项目年度计划投资174.89亿元，1-9月份完成投资162.35亿元，投资完成率92.82%。新建开工项目19个，其中槐荫区全民健身中心建设项目、腊山河西路道路建设工程、槐荫数控设备产业园等10个项目已入库纳统。</w:t>
            </w:r>
          </w:p>
        </w:tc>
        <w:tc>
          <w:tcPr>
            <w:tcW w:w="5081" w:type="dxa"/>
            <w:tcBorders>
              <w:top w:val="single" w:color="000000" w:sz="4" w:space="0"/>
              <w:left w:val="single" w:color="000000" w:sz="4" w:space="0"/>
              <w:bottom w:val="single" w:color="000000" w:sz="4" w:space="0"/>
              <w:right w:val="single" w:color="000000" w:sz="4" w:space="0"/>
            </w:tcBorders>
            <w:vAlign w:val="center"/>
          </w:tcPr>
          <w:p w14:paraId="2989D86D">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一是紧盯落后时序进度项目，研究问题解决路径和办结时限，推动问题尽快解决。二是做好入库辅导工作，指导项目单位归集各类纳统凭证，帮助梳理入库纳统材料，高质量完成投资报送工作。</w:t>
            </w:r>
          </w:p>
        </w:tc>
      </w:tr>
      <w:tr w14:paraId="141C9911">
        <w:tblPrEx>
          <w:tblCellMar>
            <w:top w:w="0" w:type="dxa"/>
            <w:left w:w="108" w:type="dxa"/>
            <w:bottom w:w="0" w:type="dxa"/>
            <w:right w:w="108" w:type="dxa"/>
          </w:tblCellMar>
        </w:tblPrEx>
        <w:trPr>
          <w:cantSplit/>
          <w:trHeight w:val="1825"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14:paraId="6661D2FC">
            <w:pPr>
              <w:widowControl/>
              <w:adjustRightInd w:val="0"/>
              <w:snapToGrid w:val="0"/>
              <w:spacing w:line="400" w:lineRule="exact"/>
              <w:jc w:val="center"/>
              <w:textAlignment w:val="center"/>
              <w:rPr>
                <w:rFonts w:ascii="仿宋" w:hAnsi="仿宋" w:eastAsia="仿宋" w:cs="仿宋"/>
                <w:sz w:val="28"/>
                <w:szCs w:val="28"/>
              </w:rPr>
            </w:pPr>
            <w:r>
              <w:rPr>
                <w:rFonts w:hint="eastAsia" w:ascii="仿宋" w:hAnsi="仿宋" w:eastAsia="仿宋" w:cs="仿宋"/>
                <w:kern w:val="0"/>
                <w:sz w:val="28"/>
                <w:szCs w:val="28"/>
              </w:rPr>
              <w:t>12</w:t>
            </w:r>
          </w:p>
        </w:tc>
        <w:tc>
          <w:tcPr>
            <w:tcW w:w="683" w:type="dxa"/>
            <w:vMerge w:val="restart"/>
            <w:tcBorders>
              <w:top w:val="single" w:color="000000" w:sz="4" w:space="0"/>
              <w:left w:val="single" w:color="000000" w:sz="4" w:space="0"/>
              <w:right w:val="single" w:color="000000" w:sz="4" w:space="0"/>
            </w:tcBorders>
            <w:vAlign w:val="center"/>
          </w:tcPr>
          <w:p w14:paraId="1790723F">
            <w:pPr>
              <w:widowControl/>
              <w:adjustRightInd w:val="0"/>
              <w:snapToGrid w:val="0"/>
              <w:spacing w:line="360" w:lineRule="exact"/>
              <w:jc w:val="left"/>
              <w:textAlignment w:val="center"/>
              <w:rPr>
                <w:rFonts w:ascii="仿宋" w:hAnsi="仿宋" w:eastAsia="仿宋" w:cs="仿宋"/>
                <w:sz w:val="28"/>
                <w:szCs w:val="28"/>
              </w:rPr>
            </w:pPr>
            <w:r>
              <w:rPr>
                <w:rFonts w:hint="eastAsia" w:ascii="仿宋" w:hAnsi="仿宋" w:eastAsia="仿宋" w:cs="仿宋"/>
                <w:sz w:val="28"/>
                <w:szCs w:val="28"/>
              </w:rPr>
              <w:t>提振消费市场</w:t>
            </w:r>
          </w:p>
        </w:tc>
        <w:tc>
          <w:tcPr>
            <w:tcW w:w="2140" w:type="dxa"/>
            <w:tcBorders>
              <w:top w:val="single" w:color="000000" w:sz="4" w:space="0"/>
              <w:left w:val="single" w:color="000000" w:sz="4" w:space="0"/>
              <w:bottom w:val="single" w:color="000000" w:sz="4" w:space="0"/>
              <w:right w:val="single" w:color="000000" w:sz="4" w:space="0"/>
            </w:tcBorders>
            <w:noWrap/>
            <w:vAlign w:val="center"/>
          </w:tcPr>
          <w:p w14:paraId="6BD2B959">
            <w:pPr>
              <w:widowControl/>
              <w:adjustRightInd w:val="0"/>
              <w:snapToGrid w:val="0"/>
              <w:spacing w:line="360" w:lineRule="exact"/>
              <w:textAlignment w:val="center"/>
              <w:rPr>
                <w:rFonts w:ascii="仿宋" w:hAnsi="仿宋" w:eastAsia="仿宋" w:cs="仿宋"/>
                <w:sz w:val="28"/>
                <w:szCs w:val="28"/>
              </w:rPr>
            </w:pPr>
            <w:r>
              <w:rPr>
                <w:rFonts w:hint="eastAsia" w:ascii="仿宋" w:hAnsi="仿宋" w:eastAsia="仿宋" w:cs="仿宋"/>
                <w:sz w:val="28"/>
                <w:szCs w:val="28"/>
              </w:rPr>
              <w:t>持续打造“经十西路汽车产业带”，新引入优质汽车品牌5家以上。</w:t>
            </w:r>
          </w:p>
        </w:tc>
        <w:tc>
          <w:tcPr>
            <w:tcW w:w="1376" w:type="dxa"/>
            <w:tcBorders>
              <w:top w:val="single" w:color="000000" w:sz="4" w:space="0"/>
              <w:left w:val="single" w:color="000000" w:sz="4" w:space="0"/>
              <w:bottom w:val="single" w:color="000000" w:sz="4" w:space="0"/>
              <w:right w:val="single" w:color="000000" w:sz="4" w:space="0"/>
            </w:tcBorders>
            <w:vAlign w:val="center"/>
          </w:tcPr>
          <w:p w14:paraId="2310F62E">
            <w:pPr>
              <w:widowControl/>
              <w:adjustRightInd w:val="0"/>
              <w:snapToGrid w:val="0"/>
              <w:spacing w:line="36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区商务局</w:t>
            </w:r>
          </w:p>
        </w:tc>
        <w:tc>
          <w:tcPr>
            <w:tcW w:w="5629" w:type="dxa"/>
            <w:tcBorders>
              <w:top w:val="single" w:color="000000" w:sz="4" w:space="0"/>
              <w:left w:val="single" w:color="000000" w:sz="4" w:space="0"/>
              <w:bottom w:val="single" w:color="000000" w:sz="4" w:space="0"/>
              <w:right w:val="single" w:color="000000" w:sz="4" w:space="0"/>
            </w:tcBorders>
            <w:vAlign w:val="center"/>
          </w:tcPr>
          <w:p w14:paraId="3001AD96">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1-9月份，济南比亚迪方程豹销售中心、极氪家新能源4S店、大友奇瑞捷途纵横汽车4S店、大友尚友4S店已营业。</w:t>
            </w:r>
          </w:p>
        </w:tc>
        <w:tc>
          <w:tcPr>
            <w:tcW w:w="5081" w:type="dxa"/>
            <w:tcBorders>
              <w:top w:val="single" w:color="000000" w:sz="4" w:space="0"/>
              <w:left w:val="single" w:color="000000" w:sz="4" w:space="0"/>
              <w:bottom w:val="single" w:color="000000" w:sz="4" w:space="0"/>
              <w:right w:val="single" w:color="000000" w:sz="4" w:space="0"/>
            </w:tcBorders>
            <w:vAlign w:val="center"/>
          </w:tcPr>
          <w:p w14:paraId="11CE0B6D">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持续落实好、用好2025年各级汽车以旧换新政策，盯紧当前在手的方程豹、极氪家、奇瑞捷途等汽车4S店项目，争取为我区汽车消费工作再创增量。</w:t>
            </w:r>
          </w:p>
        </w:tc>
      </w:tr>
      <w:tr w14:paraId="5E50AF13">
        <w:tblPrEx>
          <w:tblCellMar>
            <w:top w:w="0" w:type="dxa"/>
            <w:left w:w="108" w:type="dxa"/>
            <w:bottom w:w="0" w:type="dxa"/>
            <w:right w:w="108" w:type="dxa"/>
          </w:tblCellMar>
        </w:tblPrEx>
        <w:trPr>
          <w:cantSplit/>
          <w:trHeight w:val="4108"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14:paraId="32535916">
            <w:pPr>
              <w:widowControl/>
              <w:adjustRightInd w:val="0"/>
              <w:snapToGrid w:val="0"/>
              <w:spacing w:line="400" w:lineRule="exact"/>
              <w:jc w:val="center"/>
              <w:textAlignment w:val="center"/>
              <w:rPr>
                <w:rFonts w:ascii="仿宋" w:hAnsi="仿宋" w:eastAsia="仿宋" w:cs="仿宋"/>
                <w:sz w:val="28"/>
                <w:szCs w:val="28"/>
              </w:rPr>
            </w:pPr>
            <w:r>
              <w:rPr>
                <w:rFonts w:hint="eastAsia" w:ascii="仿宋" w:hAnsi="仿宋" w:eastAsia="仿宋" w:cs="仿宋"/>
                <w:kern w:val="0"/>
                <w:sz w:val="28"/>
                <w:szCs w:val="28"/>
              </w:rPr>
              <w:t>13</w:t>
            </w:r>
          </w:p>
        </w:tc>
        <w:tc>
          <w:tcPr>
            <w:tcW w:w="683" w:type="dxa"/>
            <w:vMerge w:val="continue"/>
            <w:tcBorders>
              <w:left w:val="single" w:color="000000" w:sz="4" w:space="0"/>
              <w:right w:val="single" w:color="000000" w:sz="4" w:space="0"/>
            </w:tcBorders>
            <w:vAlign w:val="center"/>
          </w:tcPr>
          <w:p w14:paraId="06349AE2">
            <w:pPr>
              <w:widowControl/>
              <w:adjustRightInd w:val="0"/>
              <w:snapToGrid w:val="0"/>
              <w:spacing w:line="360" w:lineRule="exact"/>
              <w:jc w:val="left"/>
              <w:rPr>
                <w:rFonts w:ascii="仿宋" w:hAnsi="仿宋" w:eastAsia="仿宋" w:cs="仿宋"/>
                <w:sz w:val="28"/>
                <w:szCs w:val="28"/>
              </w:rPr>
            </w:pPr>
          </w:p>
        </w:tc>
        <w:tc>
          <w:tcPr>
            <w:tcW w:w="2140" w:type="dxa"/>
            <w:tcBorders>
              <w:top w:val="single" w:color="000000" w:sz="4" w:space="0"/>
              <w:left w:val="single" w:color="000000" w:sz="4" w:space="0"/>
              <w:bottom w:val="single" w:color="000000" w:sz="4" w:space="0"/>
              <w:right w:val="single" w:color="000000" w:sz="4" w:space="0"/>
            </w:tcBorders>
            <w:noWrap/>
            <w:vAlign w:val="center"/>
          </w:tcPr>
          <w:p w14:paraId="7BC60F6C">
            <w:pPr>
              <w:widowControl/>
              <w:adjustRightInd w:val="0"/>
              <w:snapToGrid w:val="0"/>
              <w:spacing w:line="360" w:lineRule="exact"/>
              <w:textAlignment w:val="center"/>
              <w:rPr>
                <w:rFonts w:ascii="仿宋" w:hAnsi="仿宋" w:eastAsia="仿宋" w:cs="仿宋"/>
                <w:sz w:val="28"/>
                <w:szCs w:val="28"/>
              </w:rPr>
            </w:pPr>
            <w:r>
              <w:rPr>
                <w:rFonts w:hint="eastAsia" w:ascii="仿宋" w:hAnsi="仿宋" w:eastAsia="仿宋" w:cs="仿宋"/>
                <w:sz w:val="28"/>
                <w:szCs w:val="28"/>
              </w:rPr>
              <w:t>服务保障亚洲餐饮展、中国茶叶博览会等重点展会以及中国国际儿童电影展、2025音乐剧盛典等演艺活动，加快推进商文旅展“流量型”消费融合发展。</w:t>
            </w:r>
          </w:p>
        </w:tc>
        <w:tc>
          <w:tcPr>
            <w:tcW w:w="1376" w:type="dxa"/>
            <w:tcBorders>
              <w:top w:val="single" w:color="000000" w:sz="4" w:space="0"/>
              <w:left w:val="single" w:color="000000" w:sz="4" w:space="0"/>
              <w:bottom w:val="single" w:color="000000" w:sz="4" w:space="0"/>
              <w:right w:val="single" w:color="000000" w:sz="4" w:space="0"/>
            </w:tcBorders>
            <w:vAlign w:val="center"/>
          </w:tcPr>
          <w:p w14:paraId="7274CFC6">
            <w:pPr>
              <w:widowControl/>
              <w:adjustRightInd w:val="0"/>
              <w:snapToGrid w:val="0"/>
              <w:spacing w:line="36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区商务局</w:t>
            </w:r>
          </w:p>
          <w:p w14:paraId="0C957429">
            <w:pPr>
              <w:widowControl/>
              <w:adjustRightInd w:val="0"/>
              <w:snapToGrid w:val="0"/>
              <w:spacing w:line="360" w:lineRule="exact"/>
              <w:jc w:val="center"/>
              <w:textAlignment w:val="center"/>
              <w:rPr>
                <w:rFonts w:ascii="仿宋" w:hAnsi="仿宋" w:eastAsia="仿宋" w:cs="仿宋"/>
                <w:kern w:val="0"/>
                <w:sz w:val="28"/>
                <w:szCs w:val="28"/>
              </w:rPr>
            </w:pPr>
          </w:p>
          <w:p w14:paraId="045060BC">
            <w:pPr>
              <w:widowControl/>
              <w:adjustRightInd w:val="0"/>
              <w:snapToGrid w:val="0"/>
              <w:spacing w:line="36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区文化和旅游局</w:t>
            </w:r>
          </w:p>
        </w:tc>
        <w:tc>
          <w:tcPr>
            <w:tcW w:w="5629" w:type="dxa"/>
            <w:tcBorders>
              <w:top w:val="single" w:color="000000" w:sz="4" w:space="0"/>
              <w:left w:val="single" w:color="000000" w:sz="4" w:space="0"/>
              <w:bottom w:val="single" w:color="000000" w:sz="4" w:space="0"/>
              <w:right w:val="single" w:color="000000" w:sz="4" w:space="0"/>
            </w:tcBorders>
            <w:vAlign w:val="center"/>
          </w:tcPr>
          <w:p w14:paraId="538B8927">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1-9月份，山东国际会展中心成功举办了2025第三届亚洲餐饮展、中国·济南高层次人才招引大会、首届医学人工智能大会、2025齐鲁国际车展、中华老字号博览会等展会活动近70场，展览面积超100万平方米，参展企业近1.4万家，接待客流量超200万人次。指导保利构建“观剧+酒店+景点”消费链延展演艺消费链条，前三季度举办演出及艺术活动410场，接待20.4万人次，营业收入近1500万元。10月15日，中国国际儿童电影展顺利开幕。</w:t>
            </w:r>
          </w:p>
        </w:tc>
        <w:tc>
          <w:tcPr>
            <w:tcW w:w="5081" w:type="dxa"/>
            <w:tcBorders>
              <w:top w:val="single" w:color="000000" w:sz="4" w:space="0"/>
              <w:left w:val="single" w:color="000000" w:sz="4" w:space="0"/>
              <w:bottom w:val="single" w:color="000000" w:sz="4" w:space="0"/>
              <w:right w:val="single" w:color="000000" w:sz="4" w:space="0"/>
            </w:tcBorders>
            <w:vAlign w:val="center"/>
          </w:tcPr>
          <w:p w14:paraId="0B0E8989">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按目前现有排期计划，重点做好四季度中华医学会学术会议等重点展会活动服务保障工作，保障展会安全顺利召开。继续推动“文旅+商业”融合，联动龙湖天街、奥莱二期等重点商业载体开展联合营销，通过资源互通、活动联动进一步拓展文旅消费空间。围绕中央文化区、百年商埠风貌区等核心区域，构建新型网红体验街区、特色消费场域。</w:t>
            </w:r>
          </w:p>
        </w:tc>
      </w:tr>
      <w:tr w14:paraId="7D271C47">
        <w:tblPrEx>
          <w:tblCellMar>
            <w:top w:w="0" w:type="dxa"/>
            <w:left w:w="108" w:type="dxa"/>
            <w:bottom w:w="0" w:type="dxa"/>
            <w:right w:w="108" w:type="dxa"/>
          </w:tblCellMar>
        </w:tblPrEx>
        <w:trPr>
          <w:cantSplit/>
          <w:trHeight w:val="3028"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14:paraId="60B5C38B">
            <w:pPr>
              <w:widowControl/>
              <w:adjustRightInd w:val="0"/>
              <w:snapToGrid w:val="0"/>
              <w:spacing w:line="40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14</w:t>
            </w:r>
          </w:p>
        </w:tc>
        <w:tc>
          <w:tcPr>
            <w:tcW w:w="683" w:type="dxa"/>
            <w:vMerge w:val="continue"/>
            <w:tcBorders>
              <w:left w:val="single" w:color="000000" w:sz="4" w:space="0"/>
              <w:right w:val="single" w:color="000000" w:sz="4" w:space="0"/>
            </w:tcBorders>
            <w:vAlign w:val="center"/>
          </w:tcPr>
          <w:p w14:paraId="4F631F5B">
            <w:pPr>
              <w:widowControl/>
              <w:adjustRightInd w:val="0"/>
              <w:snapToGrid w:val="0"/>
              <w:spacing w:line="360" w:lineRule="exact"/>
              <w:jc w:val="left"/>
              <w:rPr>
                <w:rFonts w:ascii="仿宋" w:hAnsi="仿宋" w:eastAsia="仿宋" w:cs="仿宋"/>
                <w:sz w:val="28"/>
                <w:szCs w:val="28"/>
              </w:rPr>
            </w:pPr>
          </w:p>
        </w:tc>
        <w:tc>
          <w:tcPr>
            <w:tcW w:w="2140" w:type="dxa"/>
            <w:tcBorders>
              <w:top w:val="single" w:color="000000" w:sz="4" w:space="0"/>
              <w:left w:val="single" w:color="000000" w:sz="4" w:space="0"/>
              <w:bottom w:val="single" w:color="000000" w:sz="4" w:space="0"/>
              <w:right w:val="single" w:color="000000" w:sz="4" w:space="0"/>
            </w:tcBorders>
            <w:noWrap/>
            <w:vAlign w:val="center"/>
          </w:tcPr>
          <w:p w14:paraId="57A60468">
            <w:pPr>
              <w:widowControl/>
              <w:adjustRightInd w:val="0"/>
              <w:snapToGrid w:val="0"/>
              <w:spacing w:line="360" w:lineRule="exact"/>
              <w:textAlignment w:val="center"/>
              <w:rPr>
                <w:rFonts w:ascii="仿宋" w:hAnsi="仿宋" w:eastAsia="仿宋" w:cs="仿宋"/>
                <w:sz w:val="28"/>
                <w:szCs w:val="28"/>
              </w:rPr>
            </w:pPr>
            <w:r>
              <w:rPr>
                <w:rFonts w:hint="eastAsia" w:ascii="仿宋" w:hAnsi="仿宋" w:eastAsia="仿宋" w:cs="仿宋"/>
                <w:sz w:val="28"/>
                <w:szCs w:val="28"/>
              </w:rPr>
              <w:t>持续打造“这里最槐荫”文旅品牌。</w:t>
            </w:r>
          </w:p>
        </w:tc>
        <w:tc>
          <w:tcPr>
            <w:tcW w:w="1376" w:type="dxa"/>
            <w:tcBorders>
              <w:top w:val="single" w:color="000000" w:sz="4" w:space="0"/>
              <w:left w:val="single" w:color="000000" w:sz="4" w:space="0"/>
              <w:bottom w:val="single" w:color="000000" w:sz="4" w:space="0"/>
              <w:right w:val="single" w:color="000000" w:sz="4" w:space="0"/>
            </w:tcBorders>
            <w:vAlign w:val="center"/>
          </w:tcPr>
          <w:p w14:paraId="55F8A111">
            <w:pPr>
              <w:widowControl/>
              <w:adjustRightInd w:val="0"/>
              <w:snapToGrid w:val="0"/>
              <w:spacing w:line="36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区文化和旅游局</w:t>
            </w:r>
          </w:p>
        </w:tc>
        <w:tc>
          <w:tcPr>
            <w:tcW w:w="5629" w:type="dxa"/>
            <w:tcBorders>
              <w:top w:val="single" w:color="000000" w:sz="4" w:space="0"/>
              <w:left w:val="single" w:color="000000" w:sz="4" w:space="0"/>
              <w:bottom w:val="single" w:color="000000" w:sz="4" w:space="0"/>
              <w:right w:val="single" w:color="000000" w:sz="4" w:space="0"/>
            </w:tcBorders>
            <w:vAlign w:val="center"/>
          </w:tcPr>
          <w:p w14:paraId="362F9534">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深化文旅品牌建设，构建“年度主线—季节主题—节事活动”三级体系，策划活动410余场，助力槐荫区蝉联上榜“2025中国市辖区旅游综合竞争力百强区”。依托“京沪文旅+”联盟推出百余条短视频，互动超百万；开展广场艺文市集、“槐漾非遗”等活动60余场；组织“悦读西城”活动200余场，惠及读者11.7万余人次。</w:t>
            </w:r>
          </w:p>
        </w:tc>
        <w:tc>
          <w:tcPr>
            <w:tcW w:w="5081" w:type="dxa"/>
            <w:tcBorders>
              <w:top w:val="single" w:color="000000" w:sz="4" w:space="0"/>
              <w:left w:val="single" w:color="000000" w:sz="4" w:space="0"/>
              <w:bottom w:val="single" w:color="000000" w:sz="4" w:space="0"/>
              <w:right w:val="single" w:color="000000" w:sz="4" w:space="0"/>
            </w:tcBorders>
            <w:vAlign w:val="center"/>
          </w:tcPr>
          <w:p w14:paraId="25F0A0B2">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深化跨区域合作，充分依托“京沪文旅+联盟”成员单位资源优势，策划开展城市联合营销推广等活动。聚焦冬季消费需求，推出“槐荫你好”冬季主题系列文旅活动、“槐荫礼物”系列文创产品，依托老商埠资源，打造1904商埠等特色街区，进一步擦亮“这里最槐荫”文旅品牌。</w:t>
            </w:r>
          </w:p>
        </w:tc>
      </w:tr>
      <w:tr w14:paraId="35053E67">
        <w:tblPrEx>
          <w:tblCellMar>
            <w:top w:w="0" w:type="dxa"/>
            <w:left w:w="108" w:type="dxa"/>
            <w:bottom w:w="0" w:type="dxa"/>
            <w:right w:w="108" w:type="dxa"/>
          </w:tblCellMar>
        </w:tblPrEx>
        <w:trPr>
          <w:cantSplit/>
          <w:trHeight w:val="2595" w:hRule="atLeast"/>
          <w:jc w:val="center"/>
        </w:trPr>
        <w:tc>
          <w:tcPr>
            <w:tcW w:w="836" w:type="dxa"/>
            <w:tcBorders>
              <w:top w:val="single" w:color="000000" w:sz="4" w:space="0"/>
              <w:left w:val="single" w:color="000000" w:sz="4" w:space="0"/>
              <w:bottom w:val="single" w:color="auto" w:sz="4" w:space="0"/>
              <w:right w:val="single" w:color="000000" w:sz="4" w:space="0"/>
            </w:tcBorders>
            <w:vAlign w:val="center"/>
          </w:tcPr>
          <w:p w14:paraId="2F97CCE8">
            <w:pPr>
              <w:widowControl/>
              <w:adjustRightInd w:val="0"/>
              <w:snapToGrid w:val="0"/>
              <w:spacing w:line="40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15</w:t>
            </w:r>
          </w:p>
        </w:tc>
        <w:tc>
          <w:tcPr>
            <w:tcW w:w="683" w:type="dxa"/>
            <w:vMerge w:val="continue"/>
            <w:tcBorders>
              <w:left w:val="single" w:color="000000" w:sz="4" w:space="0"/>
              <w:bottom w:val="single" w:color="auto" w:sz="4" w:space="0"/>
              <w:right w:val="single" w:color="000000" w:sz="4" w:space="0"/>
            </w:tcBorders>
            <w:vAlign w:val="center"/>
          </w:tcPr>
          <w:p w14:paraId="109B1028">
            <w:pPr>
              <w:widowControl/>
              <w:adjustRightInd w:val="0"/>
              <w:snapToGrid w:val="0"/>
              <w:spacing w:line="360" w:lineRule="exact"/>
              <w:jc w:val="left"/>
              <w:rPr>
                <w:rFonts w:ascii="仿宋" w:hAnsi="仿宋" w:eastAsia="仿宋" w:cs="仿宋"/>
                <w:sz w:val="28"/>
                <w:szCs w:val="28"/>
              </w:rPr>
            </w:pPr>
          </w:p>
        </w:tc>
        <w:tc>
          <w:tcPr>
            <w:tcW w:w="2140" w:type="dxa"/>
            <w:tcBorders>
              <w:top w:val="single" w:color="000000" w:sz="4" w:space="0"/>
              <w:left w:val="single" w:color="000000" w:sz="4" w:space="0"/>
              <w:bottom w:val="single" w:color="auto" w:sz="4" w:space="0"/>
              <w:right w:val="single" w:color="000000" w:sz="4" w:space="0"/>
            </w:tcBorders>
            <w:noWrap/>
            <w:vAlign w:val="center"/>
          </w:tcPr>
          <w:p w14:paraId="1D8185C4">
            <w:pPr>
              <w:widowControl/>
              <w:adjustRightInd w:val="0"/>
              <w:snapToGrid w:val="0"/>
              <w:spacing w:line="360" w:lineRule="exact"/>
              <w:textAlignment w:val="center"/>
              <w:rPr>
                <w:rFonts w:ascii="仿宋" w:hAnsi="仿宋" w:eastAsia="仿宋" w:cs="仿宋"/>
                <w:sz w:val="28"/>
                <w:szCs w:val="28"/>
                <w:shd w:val="clear" w:color="auto" w:fill="FFFFFF"/>
              </w:rPr>
            </w:pPr>
            <w:r>
              <w:rPr>
                <w:rFonts w:hint="eastAsia" w:ascii="仿宋" w:hAnsi="仿宋" w:eastAsia="仿宋" w:cs="仿宋"/>
                <w:sz w:val="28"/>
                <w:szCs w:val="28"/>
              </w:rPr>
              <w:t>不断优化“会议酒店联盟”商业运作模式，支持承接各类学术会议500场以上。</w:t>
            </w:r>
          </w:p>
        </w:tc>
        <w:tc>
          <w:tcPr>
            <w:tcW w:w="1376" w:type="dxa"/>
            <w:tcBorders>
              <w:top w:val="single" w:color="000000" w:sz="4" w:space="0"/>
              <w:left w:val="single" w:color="000000" w:sz="4" w:space="0"/>
              <w:bottom w:val="single" w:color="000000" w:sz="4" w:space="0"/>
              <w:right w:val="single" w:color="000000" w:sz="4" w:space="0"/>
            </w:tcBorders>
            <w:vAlign w:val="center"/>
          </w:tcPr>
          <w:p w14:paraId="6D82E13E">
            <w:pPr>
              <w:widowControl/>
              <w:adjustRightInd w:val="0"/>
              <w:snapToGrid w:val="0"/>
              <w:spacing w:line="36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区商务局</w:t>
            </w:r>
          </w:p>
        </w:tc>
        <w:tc>
          <w:tcPr>
            <w:tcW w:w="5629" w:type="dxa"/>
            <w:tcBorders>
              <w:top w:val="single" w:color="000000" w:sz="4" w:space="0"/>
              <w:left w:val="single" w:color="000000" w:sz="4" w:space="0"/>
              <w:bottom w:val="single" w:color="000000" w:sz="4" w:space="0"/>
              <w:right w:val="single" w:color="000000" w:sz="4" w:space="0"/>
            </w:tcBorders>
            <w:vAlign w:val="center"/>
          </w:tcPr>
          <w:p w14:paraId="758896FA">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服务保障2025山东省外贸优品购物季、第三届高层次人才招引大会、北京宠物医师大会等展会、会议相关人员入驻，1-9月份，承接各类会议450余场。</w:t>
            </w:r>
          </w:p>
        </w:tc>
        <w:tc>
          <w:tcPr>
            <w:tcW w:w="5081" w:type="dxa"/>
            <w:tcBorders>
              <w:top w:val="single" w:color="000000" w:sz="4" w:space="0"/>
              <w:left w:val="single" w:color="000000" w:sz="4" w:space="0"/>
              <w:bottom w:val="single" w:color="000000" w:sz="4" w:space="0"/>
              <w:right w:val="single" w:color="000000" w:sz="4" w:space="0"/>
            </w:tcBorders>
            <w:vAlign w:val="center"/>
          </w:tcPr>
          <w:p w14:paraId="174BC0EB">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继续加大会议酒店联盟宣传力度，重点做好四季度中华医学会学术会议等重点展会活动参会人员的住宿、餐饮保障工作，加强与会展中心的沟通对接，做好各类办会服务保障工作。</w:t>
            </w:r>
          </w:p>
        </w:tc>
      </w:tr>
      <w:tr w14:paraId="770986B1">
        <w:tblPrEx>
          <w:tblCellMar>
            <w:top w:w="0" w:type="dxa"/>
            <w:left w:w="108" w:type="dxa"/>
            <w:bottom w:w="0" w:type="dxa"/>
            <w:right w:w="108" w:type="dxa"/>
          </w:tblCellMar>
        </w:tblPrEx>
        <w:trPr>
          <w:cantSplit/>
          <w:trHeight w:val="5557" w:hRule="atLeast"/>
          <w:jc w:val="center"/>
        </w:trPr>
        <w:tc>
          <w:tcPr>
            <w:tcW w:w="836" w:type="dxa"/>
            <w:tcBorders>
              <w:top w:val="single" w:color="auto" w:sz="4" w:space="0"/>
              <w:left w:val="single" w:color="000000" w:sz="4" w:space="0"/>
              <w:bottom w:val="single" w:color="000000" w:sz="4" w:space="0"/>
              <w:right w:val="single" w:color="000000" w:sz="4" w:space="0"/>
            </w:tcBorders>
            <w:vAlign w:val="center"/>
          </w:tcPr>
          <w:p w14:paraId="5C1B228F">
            <w:pPr>
              <w:widowControl/>
              <w:adjustRightInd w:val="0"/>
              <w:snapToGrid w:val="0"/>
              <w:spacing w:line="400" w:lineRule="exact"/>
              <w:jc w:val="center"/>
              <w:textAlignment w:val="center"/>
              <w:rPr>
                <w:rFonts w:ascii="仿宋" w:hAnsi="仿宋" w:eastAsia="仿宋" w:cs="仿宋"/>
                <w:sz w:val="28"/>
                <w:szCs w:val="28"/>
              </w:rPr>
            </w:pPr>
            <w:r>
              <w:rPr>
                <w:rFonts w:hint="eastAsia" w:ascii="仿宋" w:hAnsi="仿宋" w:eastAsia="仿宋" w:cs="仿宋"/>
                <w:kern w:val="0"/>
                <w:sz w:val="28"/>
                <w:szCs w:val="28"/>
              </w:rPr>
              <w:t>16</w:t>
            </w:r>
          </w:p>
        </w:tc>
        <w:tc>
          <w:tcPr>
            <w:tcW w:w="683" w:type="dxa"/>
            <w:vMerge w:val="restart"/>
            <w:tcBorders>
              <w:top w:val="single" w:color="auto" w:sz="4" w:space="0"/>
              <w:left w:val="single" w:color="000000" w:sz="4" w:space="0"/>
              <w:right w:val="single" w:color="000000" w:sz="4" w:space="0"/>
            </w:tcBorders>
            <w:vAlign w:val="center"/>
          </w:tcPr>
          <w:p w14:paraId="44B1DCBB">
            <w:pPr>
              <w:widowControl/>
              <w:adjustRightInd w:val="0"/>
              <w:snapToGrid w:val="0"/>
              <w:spacing w:line="360" w:lineRule="exact"/>
              <w:jc w:val="left"/>
              <w:textAlignment w:val="center"/>
              <w:rPr>
                <w:rFonts w:ascii="仿宋" w:hAnsi="仿宋" w:eastAsia="仿宋" w:cs="仿宋"/>
                <w:sz w:val="28"/>
                <w:szCs w:val="28"/>
              </w:rPr>
            </w:pPr>
            <w:r>
              <w:rPr>
                <w:rFonts w:hint="eastAsia" w:ascii="仿宋" w:hAnsi="仿宋" w:eastAsia="仿宋" w:cs="仿宋"/>
                <w:sz w:val="28"/>
                <w:szCs w:val="28"/>
              </w:rPr>
              <w:t>发展新质生产力</w:t>
            </w:r>
          </w:p>
        </w:tc>
        <w:tc>
          <w:tcPr>
            <w:tcW w:w="2140" w:type="dxa"/>
            <w:tcBorders>
              <w:top w:val="single" w:color="auto" w:sz="4" w:space="0"/>
              <w:left w:val="single" w:color="000000" w:sz="4" w:space="0"/>
              <w:bottom w:val="single" w:color="000000" w:sz="4" w:space="0"/>
              <w:right w:val="single" w:color="000000" w:sz="4" w:space="0"/>
            </w:tcBorders>
            <w:vAlign w:val="center"/>
          </w:tcPr>
          <w:p w14:paraId="34AE66EE">
            <w:pPr>
              <w:widowControl/>
              <w:adjustRightInd w:val="0"/>
              <w:snapToGrid w:val="0"/>
              <w:spacing w:line="360" w:lineRule="exact"/>
              <w:textAlignment w:val="center"/>
              <w:rPr>
                <w:rFonts w:ascii="仿宋" w:hAnsi="仿宋" w:eastAsia="仿宋" w:cs="仿宋"/>
                <w:sz w:val="28"/>
                <w:szCs w:val="28"/>
              </w:rPr>
            </w:pPr>
            <w:r>
              <w:rPr>
                <w:rFonts w:hint="eastAsia" w:ascii="仿宋" w:hAnsi="仿宋" w:eastAsia="仿宋" w:cs="仿宋"/>
                <w:sz w:val="28"/>
                <w:szCs w:val="28"/>
              </w:rPr>
              <w:t>支持定制企业争创全国重点实验室，支持微生态生物医学省实验室等高能级平台提升创新能力，加力取得一批科技成果。</w:t>
            </w:r>
          </w:p>
        </w:tc>
        <w:tc>
          <w:tcPr>
            <w:tcW w:w="1376" w:type="dxa"/>
            <w:tcBorders>
              <w:top w:val="single" w:color="000000" w:sz="4" w:space="0"/>
              <w:left w:val="single" w:color="000000" w:sz="4" w:space="0"/>
              <w:bottom w:val="single" w:color="000000" w:sz="4" w:space="0"/>
              <w:right w:val="single" w:color="000000" w:sz="4" w:space="0"/>
            </w:tcBorders>
            <w:vAlign w:val="center"/>
          </w:tcPr>
          <w:p w14:paraId="00A4A916">
            <w:pPr>
              <w:widowControl/>
              <w:adjustRightInd w:val="0"/>
              <w:snapToGrid w:val="0"/>
              <w:spacing w:line="36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区科技局</w:t>
            </w:r>
          </w:p>
        </w:tc>
        <w:tc>
          <w:tcPr>
            <w:tcW w:w="5629" w:type="dxa"/>
            <w:tcBorders>
              <w:top w:val="single" w:color="000000" w:sz="4" w:space="0"/>
              <w:left w:val="single" w:color="000000" w:sz="4" w:space="0"/>
              <w:bottom w:val="single" w:color="000000" w:sz="4" w:space="0"/>
              <w:right w:val="single" w:color="000000" w:sz="4" w:space="0"/>
            </w:tcBorders>
            <w:vAlign w:val="center"/>
          </w:tcPr>
          <w:p w14:paraId="51BAF1EF">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全力推进济南微生态生物医学省实验室建设，打造国际顶尖的微生态生物医学创新平台，实验室已搬至主体科研楼，截至目前，实验室团队总规模近400余人，承担国家及省级科研项目26项，启动自主立项科研项目105项，发表高水平论文380余篇，申请发明专利64项。5月份实验室第一届理事会第三次会议和第一届第四次学术委员会顺利召开；9月份国际微生态大会吸引了来自德国、挪威、英国、加拿大、美国、澳大利亚等多个国家的百余位院士、专家及学者参会，为国内外微生态研究者提供了高水平的交流平台，推介多项重点技术成果；完成了首届联合培养研究生的论文答辩以及研究生生中期考核。</w:t>
            </w:r>
          </w:p>
        </w:tc>
        <w:tc>
          <w:tcPr>
            <w:tcW w:w="5081" w:type="dxa"/>
            <w:tcBorders>
              <w:top w:val="single" w:color="000000" w:sz="4" w:space="0"/>
              <w:left w:val="single" w:color="000000" w:sz="4" w:space="0"/>
              <w:bottom w:val="single" w:color="000000" w:sz="4" w:space="0"/>
              <w:right w:val="single" w:color="000000" w:sz="4" w:space="0"/>
            </w:tcBorders>
            <w:vAlign w:val="center"/>
          </w:tcPr>
          <w:p w14:paraId="606BD07A">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持续推进高端载体建设，不断做好重点实验室等科技平台的建设工作，以行业领军企业为重点，主动与二机床等定制企业企业对接，上门服务，着重跟进碳化硅材料和微生态生物医学省级实验室建设情况，指导微生态申报省自然基金项目等科技项目，助力实验室产出更多科技成果。</w:t>
            </w:r>
          </w:p>
        </w:tc>
      </w:tr>
      <w:tr w14:paraId="12F88CC1">
        <w:tblPrEx>
          <w:tblCellMar>
            <w:top w:w="0" w:type="dxa"/>
            <w:left w:w="108" w:type="dxa"/>
            <w:bottom w:w="0" w:type="dxa"/>
            <w:right w:w="108" w:type="dxa"/>
          </w:tblCellMar>
        </w:tblPrEx>
        <w:trPr>
          <w:cantSplit/>
          <w:trHeight w:val="3290"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14:paraId="72607EC8">
            <w:pPr>
              <w:widowControl/>
              <w:adjustRightInd w:val="0"/>
              <w:snapToGrid w:val="0"/>
              <w:spacing w:line="40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17</w:t>
            </w:r>
          </w:p>
        </w:tc>
        <w:tc>
          <w:tcPr>
            <w:tcW w:w="683" w:type="dxa"/>
            <w:vMerge w:val="continue"/>
            <w:tcBorders>
              <w:left w:val="single" w:color="000000" w:sz="4" w:space="0"/>
              <w:right w:val="single" w:color="000000" w:sz="4" w:space="0"/>
            </w:tcBorders>
            <w:vAlign w:val="center"/>
          </w:tcPr>
          <w:p w14:paraId="595456BA">
            <w:pPr>
              <w:widowControl/>
              <w:adjustRightInd w:val="0"/>
              <w:snapToGrid w:val="0"/>
              <w:spacing w:line="360" w:lineRule="exact"/>
              <w:jc w:val="left"/>
              <w:textAlignment w:val="center"/>
              <w:rPr>
                <w:rFonts w:ascii="仿宋" w:hAnsi="仿宋" w:eastAsia="仿宋" w:cs="仿宋"/>
                <w:b/>
                <w:sz w:val="28"/>
                <w:szCs w:val="28"/>
              </w:rPr>
            </w:pPr>
          </w:p>
        </w:tc>
        <w:tc>
          <w:tcPr>
            <w:tcW w:w="2140" w:type="dxa"/>
            <w:tcBorders>
              <w:top w:val="single" w:color="000000" w:sz="4" w:space="0"/>
              <w:left w:val="single" w:color="000000" w:sz="4" w:space="0"/>
              <w:bottom w:val="single" w:color="000000" w:sz="4" w:space="0"/>
              <w:right w:val="single" w:color="000000" w:sz="4" w:space="0"/>
            </w:tcBorders>
            <w:vAlign w:val="center"/>
          </w:tcPr>
          <w:p w14:paraId="6FDD688D">
            <w:pPr>
              <w:widowControl/>
              <w:adjustRightInd w:val="0"/>
              <w:snapToGrid w:val="0"/>
              <w:spacing w:line="360" w:lineRule="exact"/>
              <w:textAlignment w:val="center"/>
              <w:rPr>
                <w:rFonts w:ascii="仿宋" w:hAnsi="仿宋" w:eastAsia="仿宋" w:cs="仿宋"/>
                <w:sz w:val="28"/>
                <w:szCs w:val="28"/>
              </w:rPr>
            </w:pPr>
            <w:r>
              <w:rPr>
                <w:rFonts w:hint="eastAsia" w:ascii="仿宋" w:hAnsi="仿宋" w:eastAsia="仿宋" w:cs="仿宋"/>
                <w:sz w:val="28"/>
                <w:szCs w:val="28"/>
              </w:rPr>
              <w:t>新培育高新技术企业20家以上。</w:t>
            </w:r>
          </w:p>
        </w:tc>
        <w:tc>
          <w:tcPr>
            <w:tcW w:w="1376" w:type="dxa"/>
            <w:tcBorders>
              <w:top w:val="single" w:color="000000" w:sz="4" w:space="0"/>
              <w:left w:val="single" w:color="000000" w:sz="4" w:space="0"/>
              <w:bottom w:val="single" w:color="000000" w:sz="4" w:space="0"/>
              <w:right w:val="single" w:color="000000" w:sz="4" w:space="0"/>
            </w:tcBorders>
            <w:vAlign w:val="center"/>
          </w:tcPr>
          <w:p w14:paraId="37A201D3">
            <w:pPr>
              <w:widowControl/>
              <w:adjustRightInd w:val="0"/>
              <w:snapToGrid w:val="0"/>
              <w:spacing w:line="36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区科技局</w:t>
            </w:r>
          </w:p>
        </w:tc>
        <w:tc>
          <w:tcPr>
            <w:tcW w:w="5629" w:type="dxa"/>
            <w:tcBorders>
              <w:top w:val="single" w:color="000000" w:sz="4" w:space="0"/>
              <w:left w:val="single" w:color="000000" w:sz="4" w:space="0"/>
              <w:bottom w:val="single" w:color="000000" w:sz="4" w:space="0"/>
              <w:right w:val="single" w:color="000000" w:sz="4" w:space="0"/>
            </w:tcBorders>
            <w:vAlign w:val="center"/>
          </w:tcPr>
          <w:p w14:paraId="49DDF237">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聘请4位大学教授及政和科技股份有限公司对115家申报企业中涉及的知识产权、研发组织管理水平、成果转化能力、涉及财务账目等内容进行审核并严格把关，提出修改和完善意见。推荐110家企业申报高新技术企业，结果待批。</w:t>
            </w:r>
          </w:p>
        </w:tc>
        <w:tc>
          <w:tcPr>
            <w:tcW w:w="5081" w:type="dxa"/>
            <w:tcBorders>
              <w:top w:val="single" w:color="000000" w:sz="4" w:space="0"/>
              <w:left w:val="single" w:color="000000" w:sz="4" w:space="0"/>
              <w:bottom w:val="single" w:color="000000" w:sz="4" w:space="0"/>
              <w:right w:val="single" w:color="000000" w:sz="4" w:space="0"/>
            </w:tcBorders>
            <w:vAlign w:val="center"/>
          </w:tcPr>
          <w:p w14:paraId="41A5AC31">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联合街道办做好高企政策的宣传工作，持续挖掘创新基础好、发展潜力大的科技型中小企业，对入库企业的动态管理与跟踪服务，推动一批科技型中小企业快速成长为高新技术企业。</w:t>
            </w:r>
          </w:p>
        </w:tc>
      </w:tr>
      <w:tr w14:paraId="294E173B">
        <w:tblPrEx>
          <w:tblCellMar>
            <w:top w:w="0" w:type="dxa"/>
            <w:left w:w="108" w:type="dxa"/>
            <w:bottom w:w="0" w:type="dxa"/>
            <w:right w:w="108" w:type="dxa"/>
          </w:tblCellMar>
        </w:tblPrEx>
        <w:trPr>
          <w:cantSplit/>
          <w:trHeight w:val="4568"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14:paraId="46F13B22">
            <w:pPr>
              <w:widowControl/>
              <w:adjustRightInd w:val="0"/>
              <w:snapToGrid w:val="0"/>
              <w:spacing w:line="400" w:lineRule="exact"/>
              <w:jc w:val="center"/>
              <w:textAlignment w:val="center"/>
              <w:rPr>
                <w:rFonts w:ascii="仿宋" w:hAnsi="仿宋" w:eastAsia="仿宋" w:cs="仿宋"/>
                <w:sz w:val="28"/>
                <w:szCs w:val="28"/>
              </w:rPr>
            </w:pPr>
            <w:r>
              <w:rPr>
                <w:rFonts w:hint="eastAsia" w:ascii="仿宋" w:hAnsi="仿宋" w:eastAsia="仿宋" w:cs="仿宋"/>
                <w:kern w:val="0"/>
                <w:sz w:val="28"/>
                <w:szCs w:val="28"/>
              </w:rPr>
              <w:t>18</w:t>
            </w:r>
          </w:p>
        </w:tc>
        <w:tc>
          <w:tcPr>
            <w:tcW w:w="683" w:type="dxa"/>
            <w:vMerge w:val="continue"/>
            <w:tcBorders>
              <w:left w:val="single" w:color="000000" w:sz="4" w:space="0"/>
              <w:right w:val="single" w:color="000000" w:sz="4" w:space="0"/>
            </w:tcBorders>
            <w:vAlign w:val="center"/>
          </w:tcPr>
          <w:p w14:paraId="29F1A4E5">
            <w:pPr>
              <w:widowControl/>
              <w:adjustRightInd w:val="0"/>
              <w:snapToGrid w:val="0"/>
              <w:spacing w:line="360" w:lineRule="exact"/>
              <w:jc w:val="center"/>
              <w:rPr>
                <w:rFonts w:ascii="仿宋" w:hAnsi="仿宋" w:eastAsia="仿宋" w:cs="仿宋"/>
                <w:sz w:val="28"/>
                <w:szCs w:val="28"/>
              </w:rPr>
            </w:pPr>
          </w:p>
        </w:tc>
        <w:tc>
          <w:tcPr>
            <w:tcW w:w="2140" w:type="dxa"/>
            <w:tcBorders>
              <w:top w:val="single" w:color="000000" w:sz="4" w:space="0"/>
              <w:left w:val="single" w:color="000000" w:sz="4" w:space="0"/>
              <w:bottom w:val="single" w:color="000000" w:sz="4" w:space="0"/>
              <w:right w:val="single" w:color="000000" w:sz="4" w:space="0"/>
            </w:tcBorders>
            <w:noWrap/>
            <w:vAlign w:val="center"/>
          </w:tcPr>
          <w:p w14:paraId="494474AF">
            <w:pPr>
              <w:widowControl/>
              <w:adjustRightInd w:val="0"/>
              <w:snapToGrid w:val="0"/>
              <w:spacing w:line="360" w:lineRule="exact"/>
              <w:textAlignment w:val="center"/>
              <w:rPr>
                <w:rFonts w:ascii="仿宋" w:hAnsi="仿宋" w:eastAsia="仿宋" w:cs="仿宋"/>
                <w:sz w:val="28"/>
                <w:szCs w:val="28"/>
              </w:rPr>
            </w:pPr>
            <w:r>
              <w:rPr>
                <w:rFonts w:hint="eastAsia" w:ascii="仿宋" w:hAnsi="仿宋" w:eastAsia="仿宋" w:cs="仿宋"/>
                <w:sz w:val="28"/>
                <w:szCs w:val="28"/>
              </w:rPr>
              <w:t>加快推进济南先进材料智造港等重点项目竣工投产，支持力冠微电子、晶芯半导体等企业增产扩能。</w:t>
            </w:r>
          </w:p>
        </w:tc>
        <w:tc>
          <w:tcPr>
            <w:tcW w:w="1376" w:type="dxa"/>
            <w:tcBorders>
              <w:top w:val="single" w:color="000000" w:sz="4" w:space="0"/>
              <w:left w:val="single" w:color="000000" w:sz="4" w:space="0"/>
              <w:bottom w:val="single" w:color="000000" w:sz="4" w:space="0"/>
              <w:right w:val="single" w:color="000000" w:sz="4" w:space="0"/>
            </w:tcBorders>
            <w:vAlign w:val="center"/>
          </w:tcPr>
          <w:p w14:paraId="428F4C20">
            <w:pPr>
              <w:widowControl/>
              <w:adjustRightInd w:val="0"/>
              <w:snapToGrid w:val="0"/>
              <w:spacing w:line="36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济南槐荫经济开发区管委会</w:t>
            </w:r>
          </w:p>
        </w:tc>
        <w:tc>
          <w:tcPr>
            <w:tcW w:w="5629" w:type="dxa"/>
            <w:tcBorders>
              <w:top w:val="single" w:color="000000" w:sz="4" w:space="0"/>
              <w:left w:val="single" w:color="000000" w:sz="4" w:space="0"/>
              <w:bottom w:val="single" w:color="000000" w:sz="4" w:space="0"/>
              <w:right w:val="single" w:color="000000" w:sz="4" w:space="0"/>
            </w:tcBorders>
            <w:vAlign w:val="center"/>
          </w:tcPr>
          <w:p w14:paraId="2337CC7A">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1.济南先进材料智造港（一期）项目完成生产厂房主体施工，厂房内部正按照定制企业生产需求，逐步进行交接。首批100台设备全部进场，8月实现纳统入库，目前已完成纳统1.2896亿元。</w:t>
            </w:r>
          </w:p>
          <w:p w14:paraId="4F0EB1C7">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2.山东力冠微电子半导体设备二期生产基地项目。项目目前正在进行土地熟化的前置阶段，近期已与槐荫城投、力冠研讨成本测算，同步敲定协议细节，力争近期签订投资协议。</w:t>
            </w:r>
          </w:p>
          <w:p w14:paraId="1C15876A">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3.晶芯半导体已提出扩产计划，拟利用槐荫数控产业园2000平方米厂房建设产线。</w:t>
            </w:r>
          </w:p>
        </w:tc>
        <w:tc>
          <w:tcPr>
            <w:tcW w:w="5081" w:type="dxa"/>
            <w:tcBorders>
              <w:top w:val="single" w:color="000000" w:sz="4" w:space="0"/>
              <w:left w:val="single" w:color="000000" w:sz="4" w:space="0"/>
              <w:bottom w:val="single" w:color="000000" w:sz="4" w:space="0"/>
              <w:right w:val="single" w:color="000000" w:sz="4" w:space="0"/>
            </w:tcBorders>
            <w:vAlign w:val="center"/>
          </w:tcPr>
          <w:p w14:paraId="69337A12">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坚持项目建设定期会商机制，及时协调解决项目投产运营中的各类问题，确保济南先进材料智造港（一期）等重点项目严格按照时间节点推进，按期投产达效。持续推进宽禁带半导体设备产业园、半导体精密仪器产业园、工业母机集聚区等6大产业片区规划策划，形成项目建设良性循环。</w:t>
            </w:r>
          </w:p>
        </w:tc>
      </w:tr>
      <w:tr w14:paraId="799C5FC1">
        <w:tblPrEx>
          <w:tblCellMar>
            <w:top w:w="0" w:type="dxa"/>
            <w:left w:w="108" w:type="dxa"/>
            <w:bottom w:w="0" w:type="dxa"/>
            <w:right w:w="108" w:type="dxa"/>
          </w:tblCellMar>
        </w:tblPrEx>
        <w:trPr>
          <w:cantSplit/>
          <w:trHeight w:val="5330"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14:paraId="06E8F72D">
            <w:pPr>
              <w:widowControl/>
              <w:adjustRightInd w:val="0"/>
              <w:snapToGrid w:val="0"/>
              <w:spacing w:line="400" w:lineRule="exact"/>
              <w:jc w:val="center"/>
              <w:textAlignment w:val="center"/>
              <w:rPr>
                <w:rFonts w:ascii="仿宋" w:hAnsi="仿宋" w:eastAsia="仿宋" w:cs="仿宋"/>
                <w:sz w:val="28"/>
                <w:szCs w:val="28"/>
              </w:rPr>
            </w:pPr>
            <w:r>
              <w:rPr>
                <w:rFonts w:hint="eastAsia" w:ascii="仿宋" w:hAnsi="仿宋" w:eastAsia="仿宋" w:cs="仿宋"/>
                <w:sz w:val="28"/>
                <w:szCs w:val="28"/>
              </w:rPr>
              <w:t>19</w:t>
            </w:r>
          </w:p>
        </w:tc>
        <w:tc>
          <w:tcPr>
            <w:tcW w:w="683" w:type="dxa"/>
            <w:vMerge w:val="continue"/>
            <w:tcBorders>
              <w:left w:val="single" w:color="000000" w:sz="4" w:space="0"/>
              <w:right w:val="single" w:color="000000" w:sz="4" w:space="0"/>
            </w:tcBorders>
            <w:vAlign w:val="center"/>
          </w:tcPr>
          <w:p w14:paraId="00C78CCA">
            <w:pPr>
              <w:widowControl/>
              <w:adjustRightInd w:val="0"/>
              <w:snapToGrid w:val="0"/>
              <w:spacing w:line="360" w:lineRule="exact"/>
              <w:jc w:val="center"/>
              <w:rPr>
                <w:rFonts w:ascii="仿宋" w:hAnsi="仿宋" w:eastAsia="仿宋" w:cs="仿宋"/>
                <w:sz w:val="28"/>
                <w:szCs w:val="28"/>
              </w:rPr>
            </w:pPr>
          </w:p>
        </w:tc>
        <w:tc>
          <w:tcPr>
            <w:tcW w:w="2140" w:type="dxa"/>
            <w:tcBorders>
              <w:top w:val="single" w:color="000000" w:sz="4" w:space="0"/>
              <w:left w:val="single" w:color="000000" w:sz="4" w:space="0"/>
              <w:bottom w:val="single" w:color="000000" w:sz="4" w:space="0"/>
              <w:right w:val="single" w:color="000000" w:sz="4" w:space="0"/>
            </w:tcBorders>
            <w:noWrap/>
            <w:vAlign w:val="center"/>
          </w:tcPr>
          <w:p w14:paraId="489863E1">
            <w:pPr>
              <w:widowControl/>
              <w:adjustRightInd w:val="0"/>
              <w:snapToGrid w:val="0"/>
              <w:spacing w:line="360" w:lineRule="exact"/>
              <w:textAlignment w:val="center"/>
              <w:rPr>
                <w:rFonts w:ascii="仿宋" w:hAnsi="仿宋" w:eastAsia="仿宋" w:cs="仿宋"/>
                <w:sz w:val="28"/>
                <w:szCs w:val="28"/>
              </w:rPr>
            </w:pPr>
            <w:r>
              <w:rPr>
                <w:rFonts w:hint="eastAsia" w:ascii="仿宋" w:hAnsi="仿宋" w:eastAsia="仿宋" w:cs="仿宋"/>
                <w:bCs/>
                <w:sz w:val="28"/>
                <w:szCs w:val="28"/>
              </w:rPr>
              <w:t>放大集成电路子基金、开发区“基金联盟”等创投资源优势，深耕碳化硅、氮化镓等半导体材料</w:t>
            </w:r>
            <w:r>
              <w:rPr>
                <w:rFonts w:hint="eastAsia" w:ascii="仿宋" w:hAnsi="仿宋" w:eastAsia="仿宋" w:cs="仿宋"/>
                <w:sz w:val="28"/>
                <w:szCs w:val="28"/>
              </w:rPr>
              <w:t>延链补链，大力招引上下游配套企业，定向储备优质项目20个以上，打造行业领先的第三代半导体产业集群。</w:t>
            </w:r>
          </w:p>
        </w:tc>
        <w:tc>
          <w:tcPr>
            <w:tcW w:w="1376" w:type="dxa"/>
            <w:tcBorders>
              <w:top w:val="single" w:color="000000" w:sz="4" w:space="0"/>
              <w:left w:val="single" w:color="000000" w:sz="4" w:space="0"/>
              <w:bottom w:val="single" w:color="000000" w:sz="4" w:space="0"/>
              <w:right w:val="single" w:color="000000" w:sz="4" w:space="0"/>
            </w:tcBorders>
            <w:vAlign w:val="center"/>
          </w:tcPr>
          <w:p w14:paraId="2923BB18">
            <w:pPr>
              <w:widowControl/>
              <w:adjustRightInd w:val="0"/>
              <w:snapToGrid w:val="0"/>
              <w:spacing w:line="36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济南槐荫经济开发区管委会</w:t>
            </w:r>
          </w:p>
        </w:tc>
        <w:tc>
          <w:tcPr>
            <w:tcW w:w="5629" w:type="dxa"/>
            <w:tcBorders>
              <w:top w:val="single" w:color="000000" w:sz="4" w:space="0"/>
              <w:left w:val="single" w:color="000000" w:sz="4" w:space="0"/>
              <w:bottom w:val="single" w:color="000000" w:sz="4" w:space="0"/>
              <w:right w:val="single" w:color="000000" w:sz="4" w:space="0"/>
            </w:tcBorders>
            <w:vAlign w:val="center"/>
          </w:tcPr>
          <w:p w14:paraId="3B656F41">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联合市产发、国联民生证券、槐荫城投，成立10亿元规模槐荫区集成电路产业基金，完成首期6500万元基金实缴，筛选储备项目10余个。储备半导体项目近30个，推动福瑞斯动力系统产品研发及应用、格瑞半导体芯片测试设备研发生产项目等7个半导体项目签约、落地。</w:t>
            </w:r>
          </w:p>
        </w:tc>
        <w:tc>
          <w:tcPr>
            <w:tcW w:w="5081" w:type="dxa"/>
            <w:tcBorders>
              <w:top w:val="single" w:color="000000" w:sz="4" w:space="0"/>
              <w:left w:val="single" w:color="000000" w:sz="4" w:space="0"/>
              <w:bottom w:val="single" w:color="000000" w:sz="4" w:space="0"/>
              <w:right w:val="single" w:color="000000" w:sz="4" w:space="0"/>
            </w:tcBorders>
            <w:vAlign w:val="center"/>
          </w:tcPr>
          <w:p w14:paraId="67D039FF">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实施新兴产业跨越提升行动，围绕新一代信息技术、新材料、人工智能等新兴产业领域，加大项目招引力度，力争全年定向储备优质项目40个以上，签约落地半导体产业项目7个以上。广泛对接产业资本，加快推进工研拓芯集成电路等在谈项目签约落地。</w:t>
            </w:r>
          </w:p>
        </w:tc>
      </w:tr>
      <w:tr w14:paraId="63D0C43E">
        <w:tblPrEx>
          <w:tblCellMar>
            <w:top w:w="0" w:type="dxa"/>
            <w:left w:w="108" w:type="dxa"/>
            <w:bottom w:w="0" w:type="dxa"/>
            <w:right w:w="108" w:type="dxa"/>
          </w:tblCellMar>
        </w:tblPrEx>
        <w:trPr>
          <w:cantSplit/>
          <w:trHeight w:val="3610"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14:paraId="727F9B5B">
            <w:pPr>
              <w:widowControl/>
              <w:adjustRightInd w:val="0"/>
              <w:snapToGrid w:val="0"/>
              <w:spacing w:line="400" w:lineRule="exact"/>
              <w:jc w:val="center"/>
              <w:textAlignment w:val="center"/>
              <w:rPr>
                <w:rFonts w:ascii="仿宋" w:hAnsi="仿宋" w:eastAsia="仿宋" w:cs="仿宋"/>
                <w:sz w:val="28"/>
                <w:szCs w:val="28"/>
              </w:rPr>
            </w:pPr>
            <w:r>
              <w:rPr>
                <w:rFonts w:hint="eastAsia" w:ascii="仿宋" w:hAnsi="仿宋" w:eastAsia="仿宋" w:cs="仿宋"/>
                <w:kern w:val="0"/>
                <w:sz w:val="28"/>
                <w:szCs w:val="28"/>
              </w:rPr>
              <w:t>20</w:t>
            </w:r>
          </w:p>
        </w:tc>
        <w:tc>
          <w:tcPr>
            <w:tcW w:w="683" w:type="dxa"/>
            <w:vMerge w:val="continue"/>
            <w:tcBorders>
              <w:left w:val="single" w:color="000000" w:sz="4" w:space="0"/>
              <w:right w:val="single" w:color="000000" w:sz="4" w:space="0"/>
            </w:tcBorders>
            <w:vAlign w:val="center"/>
          </w:tcPr>
          <w:p w14:paraId="0AE9C277">
            <w:pPr>
              <w:widowControl/>
              <w:adjustRightInd w:val="0"/>
              <w:snapToGrid w:val="0"/>
              <w:spacing w:line="360" w:lineRule="exact"/>
              <w:jc w:val="left"/>
              <w:textAlignment w:val="center"/>
              <w:rPr>
                <w:rFonts w:ascii="仿宋" w:hAnsi="仿宋" w:eastAsia="仿宋" w:cs="仿宋"/>
                <w:sz w:val="28"/>
                <w:szCs w:val="28"/>
              </w:rPr>
            </w:pPr>
          </w:p>
        </w:tc>
        <w:tc>
          <w:tcPr>
            <w:tcW w:w="2140" w:type="dxa"/>
            <w:tcBorders>
              <w:top w:val="single" w:color="000000" w:sz="4" w:space="0"/>
              <w:left w:val="single" w:color="000000" w:sz="4" w:space="0"/>
              <w:bottom w:val="single" w:color="000000" w:sz="4" w:space="0"/>
              <w:right w:val="single" w:color="000000" w:sz="4" w:space="0"/>
            </w:tcBorders>
            <w:noWrap/>
            <w:vAlign w:val="center"/>
          </w:tcPr>
          <w:p w14:paraId="0E478E0E">
            <w:pPr>
              <w:widowControl/>
              <w:adjustRightInd w:val="0"/>
              <w:snapToGrid w:val="0"/>
              <w:spacing w:line="360" w:lineRule="exact"/>
              <w:textAlignment w:val="center"/>
              <w:rPr>
                <w:rFonts w:ascii="仿宋" w:hAnsi="仿宋" w:eastAsia="仿宋" w:cs="仿宋"/>
                <w:sz w:val="28"/>
                <w:szCs w:val="28"/>
              </w:rPr>
            </w:pPr>
            <w:r>
              <w:rPr>
                <w:rFonts w:hint="eastAsia" w:ascii="仿宋" w:hAnsi="仿宋" w:eastAsia="仿宋" w:cs="仿宋"/>
                <w:sz w:val="28"/>
                <w:szCs w:val="28"/>
              </w:rPr>
              <w:t>注重招引培育智能制造配套企业，储备优质项目10个以上。</w:t>
            </w:r>
          </w:p>
        </w:tc>
        <w:tc>
          <w:tcPr>
            <w:tcW w:w="1376" w:type="dxa"/>
            <w:tcBorders>
              <w:top w:val="single" w:color="000000" w:sz="4" w:space="0"/>
              <w:left w:val="single" w:color="000000" w:sz="4" w:space="0"/>
              <w:bottom w:val="single" w:color="000000" w:sz="4" w:space="0"/>
              <w:right w:val="single" w:color="000000" w:sz="4" w:space="0"/>
            </w:tcBorders>
            <w:vAlign w:val="center"/>
          </w:tcPr>
          <w:p w14:paraId="1E7865C9">
            <w:pPr>
              <w:widowControl/>
              <w:adjustRightInd w:val="0"/>
              <w:snapToGrid w:val="0"/>
              <w:spacing w:line="36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区工业和信息化局</w:t>
            </w:r>
          </w:p>
          <w:p w14:paraId="07B91B53">
            <w:pPr>
              <w:widowControl/>
              <w:adjustRightInd w:val="0"/>
              <w:snapToGrid w:val="0"/>
              <w:spacing w:line="360" w:lineRule="exact"/>
              <w:jc w:val="center"/>
              <w:textAlignment w:val="center"/>
              <w:rPr>
                <w:rFonts w:ascii="仿宋" w:hAnsi="仿宋" w:eastAsia="仿宋" w:cs="仿宋"/>
                <w:kern w:val="0"/>
                <w:sz w:val="28"/>
                <w:szCs w:val="28"/>
              </w:rPr>
            </w:pPr>
          </w:p>
          <w:p w14:paraId="2B2E378E">
            <w:pPr>
              <w:widowControl/>
              <w:adjustRightInd w:val="0"/>
              <w:snapToGrid w:val="0"/>
              <w:spacing w:line="36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济南槐荫经济开发区管委会</w:t>
            </w:r>
          </w:p>
          <w:p w14:paraId="3E122BD1">
            <w:pPr>
              <w:widowControl/>
              <w:adjustRightInd w:val="0"/>
              <w:snapToGrid w:val="0"/>
              <w:spacing w:line="360" w:lineRule="exact"/>
              <w:jc w:val="center"/>
              <w:textAlignment w:val="center"/>
              <w:rPr>
                <w:rFonts w:ascii="仿宋" w:hAnsi="仿宋" w:eastAsia="仿宋" w:cs="仿宋"/>
                <w:kern w:val="0"/>
                <w:sz w:val="28"/>
                <w:szCs w:val="28"/>
              </w:rPr>
            </w:pPr>
          </w:p>
          <w:p w14:paraId="268EC880">
            <w:pPr>
              <w:widowControl/>
              <w:adjustRightInd w:val="0"/>
              <w:snapToGrid w:val="0"/>
              <w:spacing w:line="36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区投资促进局</w:t>
            </w:r>
          </w:p>
        </w:tc>
        <w:tc>
          <w:tcPr>
            <w:tcW w:w="5629" w:type="dxa"/>
            <w:tcBorders>
              <w:top w:val="single" w:color="000000" w:sz="4" w:space="0"/>
              <w:left w:val="single" w:color="000000" w:sz="4" w:space="0"/>
              <w:bottom w:val="single" w:color="000000" w:sz="4" w:space="0"/>
              <w:right w:val="single" w:color="000000" w:sz="4" w:space="0"/>
            </w:tcBorders>
            <w:vAlign w:val="center"/>
          </w:tcPr>
          <w:p w14:paraId="07CAED26">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截至目前，招引储备济南产发民生集成电路基金、碳化硅材料产业化项目、山东福瑞斯济南基地项目等智能制造配套企业项目。储备智能制造产业项目近20个，力促济铁轨道交通装备、海博智能测试仪器、凯恩真空设备研发生产基地项目等8个智能制造项目签约、落地。</w:t>
            </w:r>
          </w:p>
        </w:tc>
        <w:tc>
          <w:tcPr>
            <w:tcW w:w="5081" w:type="dxa"/>
            <w:tcBorders>
              <w:top w:val="single" w:color="000000" w:sz="4" w:space="0"/>
              <w:left w:val="single" w:color="000000" w:sz="4" w:space="0"/>
              <w:bottom w:val="single" w:color="000000" w:sz="4" w:space="0"/>
              <w:right w:val="single" w:color="000000" w:sz="4" w:space="0"/>
            </w:tcBorders>
            <w:vAlign w:val="center"/>
          </w:tcPr>
          <w:p w14:paraId="23C0118D">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发挥1+3+9+X招商体系机制作用，持续对接项目公司，落实好全区“129”协同招商机制，依托中交创芯智谷、槐荫数控智能设备产业园等载体，立足九阳、二机床等“链主”企业，精准绘制招商图谱，力争全年定向储备优质项目30个以上，签约落地智能制造产业项目实现新的突破。</w:t>
            </w:r>
          </w:p>
        </w:tc>
      </w:tr>
      <w:tr w14:paraId="2BA559EE">
        <w:tblPrEx>
          <w:tblCellMar>
            <w:top w:w="0" w:type="dxa"/>
            <w:left w:w="108" w:type="dxa"/>
            <w:bottom w:w="0" w:type="dxa"/>
            <w:right w:w="108" w:type="dxa"/>
          </w:tblCellMar>
        </w:tblPrEx>
        <w:trPr>
          <w:cantSplit/>
          <w:trHeight w:val="3075" w:hRule="atLeast"/>
          <w:jc w:val="center"/>
        </w:trPr>
        <w:tc>
          <w:tcPr>
            <w:tcW w:w="836" w:type="dxa"/>
            <w:tcBorders>
              <w:top w:val="single" w:color="000000" w:sz="4" w:space="0"/>
              <w:left w:val="single" w:color="000000" w:sz="4" w:space="0"/>
              <w:bottom w:val="single" w:color="auto" w:sz="4" w:space="0"/>
              <w:right w:val="single" w:color="000000" w:sz="4" w:space="0"/>
            </w:tcBorders>
            <w:vAlign w:val="center"/>
          </w:tcPr>
          <w:p w14:paraId="542D9888">
            <w:pPr>
              <w:widowControl/>
              <w:adjustRightInd w:val="0"/>
              <w:snapToGrid w:val="0"/>
              <w:spacing w:line="40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21</w:t>
            </w:r>
          </w:p>
        </w:tc>
        <w:tc>
          <w:tcPr>
            <w:tcW w:w="683" w:type="dxa"/>
            <w:vMerge w:val="continue"/>
            <w:tcBorders>
              <w:left w:val="single" w:color="000000" w:sz="4" w:space="0"/>
              <w:bottom w:val="single" w:color="auto" w:sz="4" w:space="0"/>
              <w:right w:val="single" w:color="000000" w:sz="4" w:space="0"/>
            </w:tcBorders>
            <w:vAlign w:val="center"/>
          </w:tcPr>
          <w:p w14:paraId="267480BF">
            <w:pPr>
              <w:widowControl/>
              <w:adjustRightInd w:val="0"/>
              <w:snapToGrid w:val="0"/>
              <w:spacing w:line="360" w:lineRule="exact"/>
              <w:jc w:val="left"/>
              <w:textAlignment w:val="center"/>
              <w:rPr>
                <w:rFonts w:ascii="仿宋" w:hAnsi="仿宋" w:eastAsia="仿宋" w:cs="仿宋"/>
                <w:b/>
                <w:bCs/>
                <w:sz w:val="28"/>
                <w:szCs w:val="28"/>
              </w:rPr>
            </w:pPr>
          </w:p>
        </w:tc>
        <w:tc>
          <w:tcPr>
            <w:tcW w:w="2140" w:type="dxa"/>
            <w:tcBorders>
              <w:top w:val="single" w:color="000000" w:sz="4" w:space="0"/>
              <w:left w:val="single" w:color="000000" w:sz="4" w:space="0"/>
              <w:bottom w:val="single" w:color="auto" w:sz="4" w:space="0"/>
              <w:right w:val="single" w:color="000000" w:sz="4" w:space="0"/>
            </w:tcBorders>
            <w:noWrap/>
            <w:vAlign w:val="center"/>
          </w:tcPr>
          <w:p w14:paraId="22FA3EC3">
            <w:pPr>
              <w:widowControl/>
              <w:adjustRightInd w:val="0"/>
              <w:snapToGrid w:val="0"/>
              <w:spacing w:line="360" w:lineRule="exact"/>
              <w:textAlignment w:val="center"/>
              <w:rPr>
                <w:rFonts w:ascii="仿宋" w:hAnsi="仿宋" w:eastAsia="仿宋" w:cs="仿宋"/>
                <w:sz w:val="28"/>
                <w:szCs w:val="28"/>
              </w:rPr>
            </w:pPr>
            <w:r>
              <w:rPr>
                <w:rFonts w:hint="eastAsia" w:ascii="仿宋" w:hAnsi="仿宋" w:eastAsia="仿宋" w:cs="仿宋"/>
                <w:sz w:val="28"/>
                <w:szCs w:val="28"/>
              </w:rPr>
              <w:t>实施创新型企业梯度培育计划，新培育独角兽、瞪羚、专精特新等企业50家以上。</w:t>
            </w:r>
          </w:p>
        </w:tc>
        <w:tc>
          <w:tcPr>
            <w:tcW w:w="1376" w:type="dxa"/>
            <w:tcBorders>
              <w:top w:val="single" w:color="000000" w:sz="4" w:space="0"/>
              <w:left w:val="single" w:color="000000" w:sz="4" w:space="0"/>
              <w:bottom w:val="single" w:color="000000" w:sz="4" w:space="0"/>
              <w:right w:val="single" w:color="000000" w:sz="4" w:space="0"/>
            </w:tcBorders>
            <w:vAlign w:val="center"/>
          </w:tcPr>
          <w:p w14:paraId="02DC5294">
            <w:pPr>
              <w:widowControl/>
              <w:adjustRightInd w:val="0"/>
              <w:snapToGrid w:val="0"/>
              <w:spacing w:line="36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区工业和信息化局</w:t>
            </w:r>
          </w:p>
        </w:tc>
        <w:tc>
          <w:tcPr>
            <w:tcW w:w="5629" w:type="dxa"/>
            <w:tcBorders>
              <w:top w:val="single" w:color="000000" w:sz="4" w:space="0"/>
              <w:left w:val="single" w:color="000000" w:sz="4" w:space="0"/>
              <w:bottom w:val="single" w:color="000000" w:sz="4" w:space="0"/>
              <w:right w:val="single" w:color="000000" w:sz="4" w:space="0"/>
            </w:tcBorders>
            <w:vAlign w:val="center"/>
          </w:tcPr>
          <w:p w14:paraId="134F529C">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1-9月份，新培育31家创新型中小企业，获批省级专精特新企业40家。</w:t>
            </w:r>
          </w:p>
        </w:tc>
        <w:tc>
          <w:tcPr>
            <w:tcW w:w="5081" w:type="dxa"/>
            <w:tcBorders>
              <w:top w:val="single" w:color="000000" w:sz="4" w:space="0"/>
              <w:left w:val="single" w:color="000000" w:sz="4" w:space="0"/>
              <w:bottom w:val="single" w:color="000000" w:sz="4" w:space="0"/>
              <w:right w:val="single" w:color="000000" w:sz="4" w:space="0"/>
            </w:tcBorders>
            <w:vAlign w:val="center"/>
          </w:tcPr>
          <w:p w14:paraId="28DE055A">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color w:val="000000"/>
                <w:sz w:val="28"/>
                <w:szCs w:val="28"/>
                <w:shd w:val="clear" w:color="auto" w:fill="FFFFFF"/>
              </w:rPr>
              <w:t>加大企业申报市级“一企一技术”研发中心的指导工作力度，开展政策解读和申报流程培训，帮助企业全面了解“一企一技术”研发中心的申报条件、评审标准及支持政策，确保企业申报方向明确、材料准备充分。持续构建分层培育，动态跟踪成长指标，加速企业梯度跃升。</w:t>
            </w:r>
          </w:p>
        </w:tc>
      </w:tr>
      <w:tr w14:paraId="49872A9A">
        <w:tblPrEx>
          <w:tblCellMar>
            <w:top w:w="0" w:type="dxa"/>
            <w:left w:w="108" w:type="dxa"/>
            <w:bottom w:w="0" w:type="dxa"/>
            <w:right w:w="108" w:type="dxa"/>
          </w:tblCellMar>
        </w:tblPrEx>
        <w:trPr>
          <w:cantSplit/>
          <w:trHeight w:val="2019" w:hRule="atLeast"/>
          <w:jc w:val="center"/>
        </w:trPr>
        <w:tc>
          <w:tcPr>
            <w:tcW w:w="836" w:type="dxa"/>
            <w:tcBorders>
              <w:top w:val="single" w:color="auto" w:sz="4" w:space="0"/>
              <w:left w:val="single" w:color="000000" w:sz="4" w:space="0"/>
              <w:bottom w:val="single" w:color="000000" w:sz="4" w:space="0"/>
              <w:right w:val="single" w:color="000000" w:sz="4" w:space="0"/>
            </w:tcBorders>
            <w:vAlign w:val="center"/>
          </w:tcPr>
          <w:p w14:paraId="6AAE61C9">
            <w:pPr>
              <w:widowControl/>
              <w:adjustRightInd w:val="0"/>
              <w:snapToGrid w:val="0"/>
              <w:spacing w:line="400" w:lineRule="exact"/>
              <w:jc w:val="center"/>
              <w:textAlignment w:val="center"/>
              <w:rPr>
                <w:rFonts w:ascii="仿宋" w:hAnsi="仿宋" w:eastAsia="仿宋" w:cs="仿宋"/>
                <w:sz w:val="28"/>
                <w:szCs w:val="28"/>
              </w:rPr>
            </w:pPr>
            <w:r>
              <w:rPr>
                <w:rFonts w:hint="eastAsia" w:ascii="仿宋" w:hAnsi="仿宋" w:eastAsia="仿宋" w:cs="仿宋"/>
                <w:kern w:val="0"/>
                <w:sz w:val="28"/>
                <w:szCs w:val="28"/>
              </w:rPr>
              <w:t>22</w:t>
            </w:r>
          </w:p>
        </w:tc>
        <w:tc>
          <w:tcPr>
            <w:tcW w:w="683" w:type="dxa"/>
            <w:vMerge w:val="restart"/>
            <w:tcBorders>
              <w:top w:val="single" w:color="auto" w:sz="4" w:space="0"/>
              <w:left w:val="single" w:color="000000" w:sz="4" w:space="0"/>
              <w:bottom w:val="single" w:color="auto" w:sz="4" w:space="0"/>
              <w:right w:val="single" w:color="000000" w:sz="4" w:space="0"/>
            </w:tcBorders>
            <w:vAlign w:val="center"/>
          </w:tcPr>
          <w:p w14:paraId="7382398D">
            <w:pPr>
              <w:widowControl/>
              <w:adjustRightInd w:val="0"/>
              <w:snapToGrid w:val="0"/>
              <w:spacing w:line="360" w:lineRule="exact"/>
              <w:jc w:val="left"/>
              <w:textAlignment w:val="center"/>
              <w:rPr>
                <w:rFonts w:ascii="仿宋" w:hAnsi="仿宋" w:eastAsia="仿宋" w:cs="仿宋"/>
                <w:sz w:val="28"/>
                <w:szCs w:val="28"/>
              </w:rPr>
            </w:pPr>
            <w:r>
              <w:rPr>
                <w:rFonts w:hint="eastAsia" w:ascii="仿宋" w:hAnsi="仿宋" w:eastAsia="仿宋" w:cs="仿宋"/>
                <w:sz w:val="28"/>
                <w:szCs w:val="28"/>
              </w:rPr>
              <w:t>全面深化改革</w:t>
            </w:r>
          </w:p>
        </w:tc>
        <w:tc>
          <w:tcPr>
            <w:tcW w:w="2140" w:type="dxa"/>
            <w:tcBorders>
              <w:top w:val="single" w:color="auto" w:sz="4" w:space="0"/>
              <w:left w:val="single" w:color="000000" w:sz="4" w:space="0"/>
              <w:bottom w:val="single" w:color="000000" w:sz="4" w:space="0"/>
              <w:right w:val="single" w:color="000000" w:sz="4" w:space="0"/>
            </w:tcBorders>
            <w:noWrap/>
            <w:vAlign w:val="center"/>
          </w:tcPr>
          <w:p w14:paraId="556F7B41">
            <w:pPr>
              <w:widowControl/>
              <w:adjustRightInd w:val="0"/>
              <w:snapToGrid w:val="0"/>
              <w:spacing w:line="360" w:lineRule="exact"/>
              <w:textAlignment w:val="center"/>
              <w:rPr>
                <w:rFonts w:ascii="仿宋" w:hAnsi="仿宋" w:eastAsia="仿宋" w:cs="仿宋"/>
                <w:sz w:val="28"/>
                <w:szCs w:val="28"/>
              </w:rPr>
            </w:pPr>
            <w:r>
              <w:rPr>
                <w:rFonts w:hint="eastAsia" w:ascii="仿宋" w:hAnsi="仿宋" w:eastAsia="仿宋" w:cs="仿宋"/>
                <w:sz w:val="28"/>
                <w:szCs w:val="28"/>
              </w:rPr>
              <w:t>深化农村“三变”改革，加强农村“三资”数字化管理，配合组织部做好年收入50万元以上村相关统计工作。</w:t>
            </w:r>
          </w:p>
        </w:tc>
        <w:tc>
          <w:tcPr>
            <w:tcW w:w="1376" w:type="dxa"/>
            <w:tcBorders>
              <w:top w:val="single" w:color="000000" w:sz="4" w:space="0"/>
              <w:left w:val="single" w:color="000000" w:sz="4" w:space="0"/>
              <w:bottom w:val="single" w:color="000000" w:sz="4" w:space="0"/>
              <w:right w:val="single" w:color="000000" w:sz="4" w:space="0"/>
            </w:tcBorders>
            <w:vAlign w:val="center"/>
          </w:tcPr>
          <w:p w14:paraId="3E3EA3C5">
            <w:pPr>
              <w:widowControl/>
              <w:adjustRightInd w:val="0"/>
              <w:snapToGrid w:val="0"/>
              <w:spacing w:line="36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区农业农村局</w:t>
            </w:r>
          </w:p>
        </w:tc>
        <w:tc>
          <w:tcPr>
            <w:tcW w:w="5629" w:type="dxa"/>
            <w:tcBorders>
              <w:top w:val="single" w:color="000000" w:sz="4" w:space="0"/>
              <w:left w:val="single" w:color="000000" w:sz="4" w:space="0"/>
              <w:bottom w:val="single" w:color="000000" w:sz="4" w:space="0"/>
              <w:right w:val="single" w:color="000000" w:sz="4" w:space="0"/>
            </w:tcBorders>
            <w:vAlign w:val="center"/>
          </w:tcPr>
          <w:p w14:paraId="5331CB2B">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聚焦提级巡察发现的57个问题和历年审计发现问题，制定5个规范性文件，街道完成31个问题的整改。开展2024年度村级财务审计；以村级合同监管为“小切口”，对全区3820份合同专项审计，截至目前，不规范合同440份，已整改202份。实施村集体清产核资，对全区101个村居的“三资”报表进行审核，采用召开调度会、现场抽查、下发提醒函等方式，压实街道、村“两委”工作责任。</w:t>
            </w:r>
          </w:p>
        </w:tc>
        <w:tc>
          <w:tcPr>
            <w:tcW w:w="5081" w:type="dxa"/>
            <w:tcBorders>
              <w:top w:val="single" w:color="000000" w:sz="4" w:space="0"/>
              <w:left w:val="single" w:color="000000" w:sz="4" w:space="0"/>
              <w:bottom w:val="single" w:color="000000" w:sz="4" w:space="0"/>
              <w:right w:val="single" w:color="000000" w:sz="4" w:space="0"/>
            </w:tcBorders>
            <w:vAlign w:val="center"/>
          </w:tcPr>
          <w:p w14:paraId="4BE6AD1B">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三变”改革已完成15个村的验收，三季度11村上报区级验收暂未通过，正在整改中。针对农村“三资”管理、乡村振兴资金监管等问题，采用行业检查、联动抽查、审计、个案侦办等多种手段，加强排查，深挖细扣，全面推动问题清仓见底。坚持清单式监督，对发现的问题，逐一建立台账，明确责任人，跟踪整改到位。对思想认识不到位、落实制度不严格、问题多发频发等情况，采用通报、发送督办函、向纪委移交线索等方式，全面压实责任。</w:t>
            </w:r>
          </w:p>
        </w:tc>
      </w:tr>
      <w:tr w14:paraId="31A0113D">
        <w:tblPrEx>
          <w:tblCellMar>
            <w:top w:w="0" w:type="dxa"/>
            <w:left w:w="108" w:type="dxa"/>
            <w:bottom w:w="0" w:type="dxa"/>
            <w:right w:w="108" w:type="dxa"/>
          </w:tblCellMar>
        </w:tblPrEx>
        <w:trPr>
          <w:cantSplit/>
          <w:trHeight w:val="4305"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14:paraId="7AB2FE91">
            <w:pPr>
              <w:widowControl/>
              <w:adjustRightInd w:val="0"/>
              <w:snapToGrid w:val="0"/>
              <w:spacing w:line="400" w:lineRule="exact"/>
              <w:jc w:val="center"/>
              <w:textAlignment w:val="center"/>
              <w:rPr>
                <w:rFonts w:ascii="仿宋" w:hAnsi="仿宋" w:eastAsia="仿宋" w:cs="仿宋"/>
                <w:sz w:val="28"/>
                <w:szCs w:val="28"/>
              </w:rPr>
            </w:pPr>
            <w:r>
              <w:rPr>
                <w:rFonts w:hint="eastAsia" w:ascii="仿宋" w:hAnsi="仿宋" w:eastAsia="仿宋" w:cs="仿宋"/>
                <w:kern w:val="0"/>
                <w:sz w:val="28"/>
                <w:szCs w:val="28"/>
              </w:rPr>
              <w:t>23</w:t>
            </w:r>
          </w:p>
        </w:tc>
        <w:tc>
          <w:tcPr>
            <w:tcW w:w="683" w:type="dxa"/>
            <w:vMerge w:val="continue"/>
            <w:tcBorders>
              <w:top w:val="single" w:color="auto" w:sz="4" w:space="0"/>
              <w:left w:val="single" w:color="000000" w:sz="4" w:space="0"/>
              <w:bottom w:val="single" w:color="auto" w:sz="4" w:space="0"/>
              <w:right w:val="single" w:color="000000" w:sz="4" w:space="0"/>
            </w:tcBorders>
            <w:vAlign w:val="center"/>
          </w:tcPr>
          <w:p w14:paraId="5D75D547">
            <w:pPr>
              <w:widowControl/>
              <w:adjustRightInd w:val="0"/>
              <w:snapToGrid w:val="0"/>
              <w:spacing w:line="360" w:lineRule="exact"/>
              <w:jc w:val="left"/>
              <w:rPr>
                <w:rFonts w:ascii="仿宋" w:hAnsi="仿宋" w:eastAsia="仿宋" w:cs="仿宋"/>
                <w:sz w:val="28"/>
                <w:szCs w:val="28"/>
              </w:rPr>
            </w:pPr>
          </w:p>
        </w:tc>
        <w:tc>
          <w:tcPr>
            <w:tcW w:w="2140" w:type="dxa"/>
            <w:tcBorders>
              <w:top w:val="single" w:color="000000" w:sz="4" w:space="0"/>
              <w:left w:val="single" w:color="000000" w:sz="4" w:space="0"/>
              <w:bottom w:val="single" w:color="auto" w:sz="4" w:space="0"/>
              <w:right w:val="single" w:color="000000" w:sz="4" w:space="0"/>
            </w:tcBorders>
            <w:noWrap/>
            <w:vAlign w:val="center"/>
          </w:tcPr>
          <w:p w14:paraId="18E68A60">
            <w:pPr>
              <w:widowControl/>
              <w:adjustRightInd w:val="0"/>
              <w:snapToGrid w:val="0"/>
              <w:spacing w:line="360" w:lineRule="exact"/>
              <w:textAlignment w:val="center"/>
              <w:rPr>
                <w:rFonts w:ascii="仿宋" w:hAnsi="仿宋" w:eastAsia="仿宋" w:cs="仿宋"/>
                <w:sz w:val="28"/>
                <w:szCs w:val="28"/>
              </w:rPr>
            </w:pPr>
            <w:r>
              <w:rPr>
                <w:rFonts w:hint="eastAsia" w:ascii="仿宋" w:hAnsi="仿宋" w:eastAsia="仿宋" w:cs="仿宋"/>
                <w:sz w:val="28"/>
                <w:szCs w:val="28"/>
              </w:rPr>
              <w:t>优化“槐小花”等特色服务，推动“高效办成一件事”提质增效。</w:t>
            </w:r>
          </w:p>
        </w:tc>
        <w:tc>
          <w:tcPr>
            <w:tcW w:w="1376" w:type="dxa"/>
            <w:tcBorders>
              <w:top w:val="single" w:color="000000" w:sz="4" w:space="0"/>
              <w:left w:val="single" w:color="000000" w:sz="4" w:space="0"/>
              <w:bottom w:val="single" w:color="000000" w:sz="4" w:space="0"/>
              <w:right w:val="single" w:color="000000" w:sz="4" w:space="0"/>
            </w:tcBorders>
            <w:vAlign w:val="center"/>
          </w:tcPr>
          <w:p w14:paraId="02E8B962">
            <w:pPr>
              <w:widowControl/>
              <w:adjustRightInd w:val="0"/>
              <w:snapToGrid w:val="0"/>
              <w:spacing w:line="36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区行政审批服务局</w:t>
            </w:r>
          </w:p>
        </w:tc>
        <w:tc>
          <w:tcPr>
            <w:tcW w:w="5629" w:type="dxa"/>
            <w:tcBorders>
              <w:top w:val="single" w:color="000000" w:sz="4" w:space="0"/>
              <w:left w:val="single" w:color="000000" w:sz="4" w:space="0"/>
              <w:bottom w:val="single" w:color="000000" w:sz="4" w:space="0"/>
              <w:right w:val="single" w:color="000000" w:sz="4" w:space="0"/>
            </w:tcBorders>
            <w:vAlign w:val="center"/>
          </w:tcPr>
          <w:p w14:paraId="4F0282A0">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创新打造“楼宇槐小花品牌”并组建专属服务队，自3月上线以来，已开展5期专项培训，吸纳80余名楼宇运营方业务骨干加入，设置56个服务点，服务100余座重点楼宇（园区）基本实现全区16个街道重点楼宇全覆盖，累计为民营企业提供精准帮办服务100余次，有效节省企业时间与人力成本。不断拓展服务边界，前三季度已与临沂兰陵等24地成功签署“高效办成一件事”合作协议，进一步放大“槐小花”服务效能，全方位助力政务服务提质升级。</w:t>
            </w:r>
          </w:p>
        </w:tc>
        <w:tc>
          <w:tcPr>
            <w:tcW w:w="5081" w:type="dxa"/>
            <w:tcBorders>
              <w:top w:val="single" w:color="000000" w:sz="4" w:space="0"/>
              <w:left w:val="single" w:color="000000" w:sz="4" w:space="0"/>
              <w:bottom w:val="single" w:color="000000" w:sz="4" w:space="0"/>
              <w:right w:val="single" w:color="000000" w:sz="4" w:space="0"/>
            </w:tcBorders>
            <w:vAlign w:val="center"/>
          </w:tcPr>
          <w:p w14:paraId="60AE6166">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常态化开展“我陪群众走流程”，排查问题优化流程；拓展茶产业合作 “朋友圈”，深化跨域通办；持续完善工作机制，创新服务方式，提升“高效 办成一件事”改革成效，为企业群众提供更优质服务。</w:t>
            </w:r>
          </w:p>
        </w:tc>
      </w:tr>
      <w:tr w14:paraId="3B3DD04F">
        <w:tblPrEx>
          <w:tblCellMar>
            <w:top w:w="0" w:type="dxa"/>
            <w:left w:w="108" w:type="dxa"/>
            <w:bottom w:w="0" w:type="dxa"/>
            <w:right w:w="108" w:type="dxa"/>
          </w:tblCellMar>
        </w:tblPrEx>
        <w:trPr>
          <w:cantSplit/>
          <w:trHeight w:val="4630"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14:paraId="43A1534A">
            <w:pPr>
              <w:widowControl/>
              <w:adjustRightInd w:val="0"/>
              <w:snapToGrid w:val="0"/>
              <w:spacing w:line="40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24</w:t>
            </w:r>
          </w:p>
        </w:tc>
        <w:tc>
          <w:tcPr>
            <w:tcW w:w="683" w:type="dxa"/>
            <w:vMerge w:val="continue"/>
            <w:tcBorders>
              <w:top w:val="single" w:color="auto" w:sz="4" w:space="0"/>
              <w:left w:val="single" w:color="000000" w:sz="4" w:space="0"/>
              <w:bottom w:val="single" w:color="auto" w:sz="4" w:space="0"/>
              <w:right w:val="single" w:color="000000" w:sz="4" w:space="0"/>
            </w:tcBorders>
            <w:vAlign w:val="center"/>
          </w:tcPr>
          <w:p w14:paraId="690F75B3">
            <w:pPr>
              <w:widowControl/>
              <w:adjustRightInd w:val="0"/>
              <w:snapToGrid w:val="0"/>
              <w:spacing w:line="360" w:lineRule="exact"/>
              <w:jc w:val="left"/>
              <w:rPr>
                <w:rFonts w:ascii="仿宋" w:hAnsi="仿宋" w:eastAsia="仿宋" w:cs="仿宋"/>
                <w:sz w:val="28"/>
                <w:szCs w:val="28"/>
              </w:rPr>
            </w:pPr>
          </w:p>
        </w:tc>
        <w:tc>
          <w:tcPr>
            <w:tcW w:w="2140" w:type="dxa"/>
            <w:tcBorders>
              <w:top w:val="single" w:color="000000" w:sz="4" w:space="0"/>
              <w:left w:val="single" w:color="000000" w:sz="4" w:space="0"/>
              <w:bottom w:val="single" w:color="auto" w:sz="4" w:space="0"/>
              <w:right w:val="single" w:color="000000" w:sz="4" w:space="0"/>
            </w:tcBorders>
            <w:noWrap/>
            <w:vAlign w:val="center"/>
          </w:tcPr>
          <w:p w14:paraId="210033F0">
            <w:pPr>
              <w:widowControl/>
              <w:adjustRightInd w:val="0"/>
              <w:snapToGrid w:val="0"/>
              <w:spacing w:line="360" w:lineRule="exact"/>
              <w:textAlignment w:val="center"/>
              <w:rPr>
                <w:rFonts w:ascii="仿宋" w:hAnsi="仿宋" w:eastAsia="仿宋" w:cs="仿宋"/>
                <w:sz w:val="28"/>
                <w:szCs w:val="28"/>
                <w:highlight w:val="yellow"/>
              </w:rPr>
            </w:pPr>
            <w:r>
              <w:rPr>
                <w:rFonts w:hint="eastAsia" w:ascii="仿宋" w:hAnsi="仿宋" w:eastAsia="仿宋" w:cs="仿宋"/>
                <w:sz w:val="28"/>
                <w:szCs w:val="28"/>
              </w:rPr>
              <w:t>提升社会治理智慧化水平，全区智慧社区达到40家。</w:t>
            </w:r>
          </w:p>
        </w:tc>
        <w:tc>
          <w:tcPr>
            <w:tcW w:w="1376" w:type="dxa"/>
            <w:tcBorders>
              <w:top w:val="single" w:color="000000" w:sz="4" w:space="0"/>
              <w:left w:val="single" w:color="000000" w:sz="4" w:space="0"/>
              <w:bottom w:val="single" w:color="000000" w:sz="4" w:space="0"/>
              <w:right w:val="single" w:color="000000" w:sz="4" w:space="0"/>
            </w:tcBorders>
            <w:vAlign w:val="center"/>
          </w:tcPr>
          <w:p w14:paraId="2D3CE873">
            <w:pPr>
              <w:widowControl/>
              <w:adjustRightInd w:val="0"/>
              <w:snapToGrid w:val="0"/>
              <w:spacing w:line="360" w:lineRule="exact"/>
              <w:textAlignment w:val="center"/>
              <w:rPr>
                <w:rFonts w:ascii="仿宋" w:hAnsi="仿宋" w:eastAsia="仿宋" w:cs="仿宋"/>
                <w:sz w:val="28"/>
                <w:szCs w:val="28"/>
              </w:rPr>
            </w:pPr>
            <w:r>
              <w:rPr>
                <w:rFonts w:hint="eastAsia" w:ascii="仿宋" w:hAnsi="仿宋" w:eastAsia="仿宋" w:cs="仿宋"/>
                <w:sz w:val="28"/>
                <w:szCs w:val="28"/>
              </w:rPr>
              <w:t>区大数据局</w:t>
            </w:r>
          </w:p>
        </w:tc>
        <w:tc>
          <w:tcPr>
            <w:tcW w:w="5629" w:type="dxa"/>
            <w:tcBorders>
              <w:top w:val="single" w:color="000000" w:sz="4" w:space="0"/>
              <w:left w:val="single" w:color="000000" w:sz="4" w:space="0"/>
              <w:bottom w:val="single" w:color="000000" w:sz="4" w:space="0"/>
              <w:right w:val="single" w:color="000000" w:sz="4" w:space="0"/>
            </w:tcBorders>
            <w:vAlign w:val="center"/>
          </w:tcPr>
          <w:p w14:paraId="4FD71CFA">
            <w:pPr>
              <w:widowControl/>
              <w:adjustRightInd w:val="0"/>
              <w:snapToGrid w:val="0"/>
              <w:spacing w:line="360" w:lineRule="exact"/>
              <w:ind w:firstLine="560" w:firstLineChars="200"/>
              <w:textAlignment w:val="center"/>
              <w:rPr>
                <w:rFonts w:ascii="仿宋" w:hAnsi="仿宋" w:eastAsia="仿宋" w:cs="仿宋"/>
                <w:sz w:val="28"/>
                <w:szCs w:val="28"/>
                <w:highlight w:val="yellow"/>
              </w:rPr>
            </w:pPr>
            <w:r>
              <w:rPr>
                <w:rFonts w:hint="eastAsia" w:ascii="仿宋" w:hAnsi="仿宋" w:eastAsia="仿宋" w:cs="仿宋"/>
                <w:sz w:val="28"/>
                <w:szCs w:val="28"/>
              </w:rPr>
              <w:t>建立统一管理、分工负责、协同推进的工作实施机制，各街道办事处、区政府各部门均明确专人负责，按照《山东省智慧社区建设指标》的要求，目前已成功建设标杆型智慧社区1个，成长型智慧社区3个，基础型智慧社区39个，全区累计建设智慧社区总数达43个。</w:t>
            </w:r>
          </w:p>
        </w:tc>
        <w:tc>
          <w:tcPr>
            <w:tcW w:w="5081" w:type="dxa"/>
            <w:tcBorders>
              <w:top w:val="single" w:color="000000" w:sz="4" w:space="0"/>
              <w:left w:val="single" w:color="000000" w:sz="4" w:space="0"/>
              <w:bottom w:val="single" w:color="000000" w:sz="4" w:space="0"/>
              <w:right w:val="single" w:color="000000" w:sz="4" w:space="0"/>
            </w:tcBorders>
            <w:vAlign w:val="center"/>
          </w:tcPr>
          <w:p w14:paraId="1BA97AA6">
            <w:pPr>
              <w:widowControl/>
              <w:adjustRightInd w:val="0"/>
              <w:snapToGrid w:val="0"/>
              <w:spacing w:line="360" w:lineRule="exact"/>
              <w:ind w:firstLine="560" w:firstLineChars="200"/>
              <w:textAlignment w:val="center"/>
              <w:rPr>
                <w:rFonts w:ascii="仿宋" w:hAnsi="仿宋" w:eastAsia="仿宋" w:cs="仿宋"/>
                <w:sz w:val="28"/>
                <w:szCs w:val="28"/>
                <w:highlight w:val="yellow"/>
              </w:rPr>
            </w:pPr>
            <w:r>
              <w:rPr>
                <w:rFonts w:hint="eastAsia" w:ascii="仿宋" w:hAnsi="仿宋" w:eastAsia="仿宋" w:cs="仿宋"/>
                <w:sz w:val="28"/>
                <w:szCs w:val="28"/>
              </w:rPr>
              <w:t>下一步将进一步加强组织领导，借鉴有关成功经验，从全局上把握好工作方向和重点，科学推进智慧社区建设。认真抓好智慧社区建设宣传和普及工作，使群众充分认识推进智慧社区建设的重要性，调动全社会参与的积极性和创造性。同时注重加强人才队伍建设和培养，调动社区现有人员的积极性，邀请技术人员为社区工作者进行技能培训，确保智慧社区建设运维工作人员的稳定性和长期性，不断提高智慧社区建设质量。</w:t>
            </w:r>
          </w:p>
        </w:tc>
      </w:tr>
      <w:tr w14:paraId="567D24B5">
        <w:tblPrEx>
          <w:tblCellMar>
            <w:top w:w="0" w:type="dxa"/>
            <w:left w:w="108" w:type="dxa"/>
            <w:bottom w:w="0" w:type="dxa"/>
            <w:right w:w="108" w:type="dxa"/>
          </w:tblCellMar>
        </w:tblPrEx>
        <w:trPr>
          <w:cantSplit/>
          <w:trHeight w:val="5210"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14:paraId="1FD34E63">
            <w:pPr>
              <w:widowControl/>
              <w:adjustRightInd w:val="0"/>
              <w:snapToGrid w:val="0"/>
              <w:spacing w:line="40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25</w:t>
            </w:r>
          </w:p>
        </w:tc>
        <w:tc>
          <w:tcPr>
            <w:tcW w:w="683" w:type="dxa"/>
            <w:vMerge w:val="continue"/>
            <w:tcBorders>
              <w:top w:val="single" w:color="auto" w:sz="4" w:space="0"/>
              <w:left w:val="single" w:color="000000" w:sz="4" w:space="0"/>
              <w:bottom w:val="single" w:color="auto" w:sz="4" w:space="0"/>
              <w:right w:val="single" w:color="000000" w:sz="4" w:space="0"/>
            </w:tcBorders>
            <w:vAlign w:val="center"/>
          </w:tcPr>
          <w:p w14:paraId="677E204A">
            <w:pPr>
              <w:widowControl/>
              <w:adjustRightInd w:val="0"/>
              <w:snapToGrid w:val="0"/>
              <w:spacing w:line="360" w:lineRule="exact"/>
              <w:jc w:val="left"/>
              <w:rPr>
                <w:rFonts w:ascii="仿宋" w:hAnsi="仿宋" w:eastAsia="仿宋" w:cs="仿宋"/>
                <w:sz w:val="28"/>
                <w:szCs w:val="28"/>
              </w:rPr>
            </w:pPr>
          </w:p>
        </w:tc>
        <w:tc>
          <w:tcPr>
            <w:tcW w:w="2140" w:type="dxa"/>
            <w:tcBorders>
              <w:top w:val="single" w:color="000000" w:sz="4" w:space="0"/>
              <w:left w:val="single" w:color="000000" w:sz="4" w:space="0"/>
              <w:bottom w:val="single" w:color="auto" w:sz="4" w:space="0"/>
              <w:right w:val="single" w:color="000000" w:sz="4" w:space="0"/>
            </w:tcBorders>
            <w:noWrap/>
            <w:vAlign w:val="center"/>
          </w:tcPr>
          <w:p w14:paraId="045873DF">
            <w:pPr>
              <w:widowControl/>
              <w:adjustRightInd w:val="0"/>
              <w:snapToGrid w:val="0"/>
              <w:spacing w:line="360" w:lineRule="exact"/>
              <w:textAlignment w:val="center"/>
              <w:rPr>
                <w:rFonts w:ascii="仿宋" w:hAnsi="仿宋" w:eastAsia="仿宋" w:cs="仿宋"/>
                <w:sz w:val="28"/>
                <w:szCs w:val="28"/>
              </w:rPr>
            </w:pPr>
            <w:r>
              <w:rPr>
                <w:rFonts w:hint="eastAsia" w:ascii="仿宋" w:hAnsi="仿宋" w:eastAsia="仿宋" w:cs="仿宋"/>
                <w:sz w:val="28"/>
                <w:szCs w:val="28"/>
              </w:rPr>
              <w:t>服务保障京台高速、轨道交通、腊山河西路北延等工程，完成腊山河西路南延道路建设，加快完善通达四方、连接内外的路网体系。</w:t>
            </w:r>
          </w:p>
        </w:tc>
        <w:tc>
          <w:tcPr>
            <w:tcW w:w="1376" w:type="dxa"/>
            <w:tcBorders>
              <w:top w:val="single" w:color="000000" w:sz="4" w:space="0"/>
              <w:left w:val="single" w:color="000000" w:sz="4" w:space="0"/>
              <w:bottom w:val="single" w:color="000000" w:sz="4" w:space="0"/>
              <w:right w:val="single" w:color="000000" w:sz="4" w:space="0"/>
            </w:tcBorders>
            <w:vAlign w:val="center"/>
          </w:tcPr>
          <w:p w14:paraId="028BF0F5">
            <w:pPr>
              <w:widowControl/>
              <w:adjustRightInd w:val="0"/>
              <w:snapToGrid w:val="0"/>
              <w:spacing w:line="36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区水务局</w:t>
            </w:r>
          </w:p>
        </w:tc>
        <w:tc>
          <w:tcPr>
            <w:tcW w:w="5629" w:type="dxa"/>
            <w:tcBorders>
              <w:top w:val="single" w:color="000000" w:sz="4" w:space="0"/>
              <w:left w:val="single" w:color="000000" w:sz="4" w:space="0"/>
              <w:bottom w:val="single" w:color="000000" w:sz="4" w:space="0"/>
              <w:right w:val="single" w:color="000000" w:sz="4" w:space="0"/>
            </w:tcBorders>
            <w:vAlign w:val="center"/>
          </w:tcPr>
          <w:p w14:paraId="26395124">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1.京台高速：京台高速改扩建项目全线已进场施工。</w:t>
            </w:r>
          </w:p>
          <w:p w14:paraId="1FAE0805">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2.轨道交通：按时完成轨道集团下达的轨道交通4、6号线房屋征收、土地收储、临时用地租用(延期)等任务，现4、6号线所有站点、车站、区间均已正常进场施工。</w:t>
            </w:r>
          </w:p>
          <w:p w14:paraId="4B6465AD">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3.腊山河西路北延：项目计划2027年6月通车。截至目前，钢箱梁螺栓连接完成，桥面板吊装连接完成20%，箱室底肋板焊接完成80%；济齐路路口临时支架拆除完成。</w:t>
            </w:r>
          </w:p>
          <w:p w14:paraId="1DF9AD62">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4.腊山河西路南延：已完成除轨道交通占压外的苗木迁移、雨水管道、通讯管道、绿化填土、道路基层及沥青下面层、中面层的施工，完成量80%。</w:t>
            </w:r>
          </w:p>
        </w:tc>
        <w:tc>
          <w:tcPr>
            <w:tcW w:w="5081" w:type="dxa"/>
            <w:tcBorders>
              <w:top w:val="single" w:color="000000" w:sz="4" w:space="0"/>
              <w:left w:val="single" w:color="000000" w:sz="4" w:space="0"/>
              <w:bottom w:val="single" w:color="000000" w:sz="4" w:space="0"/>
              <w:right w:val="single" w:color="000000" w:sz="4" w:space="0"/>
            </w:tcBorders>
            <w:vAlign w:val="center"/>
          </w:tcPr>
          <w:p w14:paraId="486F737F">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1.京台高速：配合建设单位和施工单位做好京台高速改扩建项目后续工作。</w:t>
            </w:r>
          </w:p>
          <w:p w14:paraId="06DA686E">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2.轨道交通：根据轨道集团用地计划，配合其完成国有土地收储、临时用地续租(归还)等相关工作。</w:t>
            </w:r>
          </w:p>
          <w:p w14:paraId="0E227A6D">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 xml:space="preserve">3.腊山河西路北延工程：后续将持续关注施工进度，帮扶推进。 </w:t>
            </w:r>
          </w:p>
          <w:p w14:paraId="43A48C2D">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4.腊山河西路南延工程：在10月底轨道集团完成场地移交后，立即组织道路剩余路段施工。</w:t>
            </w:r>
          </w:p>
        </w:tc>
      </w:tr>
      <w:tr w14:paraId="5E07D472">
        <w:tblPrEx>
          <w:tblCellMar>
            <w:top w:w="0" w:type="dxa"/>
            <w:left w:w="108" w:type="dxa"/>
            <w:bottom w:w="0" w:type="dxa"/>
            <w:right w:w="108" w:type="dxa"/>
          </w:tblCellMar>
        </w:tblPrEx>
        <w:trPr>
          <w:cantSplit/>
          <w:trHeight w:val="3200"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14:paraId="59095B53">
            <w:pPr>
              <w:widowControl/>
              <w:adjustRightInd w:val="0"/>
              <w:snapToGrid w:val="0"/>
              <w:spacing w:line="40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26</w:t>
            </w:r>
          </w:p>
        </w:tc>
        <w:tc>
          <w:tcPr>
            <w:tcW w:w="683" w:type="dxa"/>
            <w:vMerge w:val="continue"/>
            <w:tcBorders>
              <w:top w:val="single" w:color="auto" w:sz="4" w:space="0"/>
              <w:left w:val="single" w:color="000000" w:sz="4" w:space="0"/>
              <w:bottom w:val="single" w:color="auto" w:sz="4" w:space="0"/>
              <w:right w:val="single" w:color="000000" w:sz="4" w:space="0"/>
            </w:tcBorders>
            <w:vAlign w:val="center"/>
          </w:tcPr>
          <w:p w14:paraId="5AE5D971">
            <w:pPr>
              <w:widowControl/>
              <w:adjustRightInd w:val="0"/>
              <w:snapToGrid w:val="0"/>
              <w:spacing w:line="360" w:lineRule="exact"/>
              <w:jc w:val="left"/>
              <w:rPr>
                <w:rFonts w:ascii="仿宋" w:hAnsi="仿宋" w:eastAsia="仿宋" w:cs="仿宋"/>
                <w:sz w:val="28"/>
                <w:szCs w:val="28"/>
              </w:rPr>
            </w:pPr>
          </w:p>
        </w:tc>
        <w:tc>
          <w:tcPr>
            <w:tcW w:w="2140" w:type="dxa"/>
            <w:tcBorders>
              <w:top w:val="single" w:color="auto" w:sz="4" w:space="0"/>
              <w:left w:val="single" w:color="000000" w:sz="4" w:space="0"/>
              <w:bottom w:val="single" w:color="auto" w:sz="4" w:space="0"/>
              <w:right w:val="single" w:color="000000" w:sz="4" w:space="0"/>
            </w:tcBorders>
            <w:noWrap/>
            <w:vAlign w:val="center"/>
          </w:tcPr>
          <w:p w14:paraId="6DDEF589">
            <w:pPr>
              <w:widowControl/>
              <w:adjustRightInd w:val="0"/>
              <w:snapToGrid w:val="0"/>
              <w:spacing w:line="360" w:lineRule="exact"/>
              <w:textAlignment w:val="center"/>
              <w:rPr>
                <w:rFonts w:ascii="仿宋" w:hAnsi="仿宋" w:eastAsia="仿宋" w:cs="仿宋"/>
                <w:sz w:val="28"/>
                <w:szCs w:val="28"/>
              </w:rPr>
            </w:pPr>
            <w:r>
              <w:rPr>
                <w:rFonts w:hint="eastAsia" w:ascii="仿宋" w:hAnsi="仿宋" w:eastAsia="仿宋" w:cs="仿宋"/>
                <w:sz w:val="28"/>
                <w:szCs w:val="28"/>
              </w:rPr>
              <w:t>新建共建公园游园3处、绿道5公里、市民休息点10处，有机串联公园、山体等城市绿色空间。</w:t>
            </w:r>
          </w:p>
        </w:tc>
        <w:tc>
          <w:tcPr>
            <w:tcW w:w="1376" w:type="dxa"/>
            <w:tcBorders>
              <w:top w:val="single" w:color="000000" w:sz="4" w:space="0"/>
              <w:left w:val="single" w:color="000000" w:sz="4" w:space="0"/>
              <w:bottom w:val="single" w:color="000000" w:sz="4" w:space="0"/>
              <w:right w:val="single" w:color="000000" w:sz="4" w:space="0"/>
            </w:tcBorders>
            <w:vAlign w:val="center"/>
          </w:tcPr>
          <w:p w14:paraId="4AC48F7A">
            <w:pPr>
              <w:widowControl/>
              <w:adjustRightInd w:val="0"/>
              <w:snapToGrid w:val="0"/>
              <w:spacing w:line="36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区园林绿化服务中心</w:t>
            </w:r>
          </w:p>
        </w:tc>
        <w:tc>
          <w:tcPr>
            <w:tcW w:w="5629" w:type="dxa"/>
            <w:tcBorders>
              <w:top w:val="single" w:color="000000" w:sz="4" w:space="0"/>
              <w:left w:val="single" w:color="000000" w:sz="4" w:space="0"/>
              <w:bottom w:val="single" w:color="000000" w:sz="4" w:space="0"/>
              <w:right w:val="single" w:color="000000" w:sz="4" w:space="0"/>
            </w:tcBorders>
            <w:vAlign w:val="center"/>
          </w:tcPr>
          <w:p w14:paraId="1B94DF27">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积极推进“共建花园”建设活动，已完成共建公园游园3处；5公里绿道建设完成，持续提升绿道环线品质；完成市民休息点10处；进一步串联了公园、山体等城市绿色空间。</w:t>
            </w:r>
          </w:p>
        </w:tc>
        <w:tc>
          <w:tcPr>
            <w:tcW w:w="5081" w:type="dxa"/>
            <w:tcBorders>
              <w:top w:val="single" w:color="000000" w:sz="4" w:space="0"/>
              <w:left w:val="single" w:color="000000" w:sz="4" w:space="0"/>
              <w:bottom w:val="single" w:color="000000" w:sz="4" w:space="0"/>
              <w:right w:val="single" w:color="000000" w:sz="4" w:space="0"/>
            </w:tcBorders>
            <w:vAlign w:val="center"/>
          </w:tcPr>
          <w:p w14:paraId="6E2BAB76">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一是不断拓展“共建花园”多元功能，打造特色社会治理品牌。二是加快驿站、座椅等基础设施建设，使腊山河周边景观及管理服务水平得到全面提升，为市民提供更好的步行体验。三是不断提升辖区绿化品质，在辖区主干道、公园、广场等根据不同花卉色彩搭配和新颖造型需求，设计花坛种植方案。</w:t>
            </w:r>
          </w:p>
        </w:tc>
      </w:tr>
      <w:tr w14:paraId="217DC076">
        <w:tblPrEx>
          <w:tblCellMar>
            <w:top w:w="0" w:type="dxa"/>
            <w:left w:w="108" w:type="dxa"/>
            <w:bottom w:w="0" w:type="dxa"/>
            <w:right w:w="108" w:type="dxa"/>
          </w:tblCellMar>
        </w:tblPrEx>
        <w:trPr>
          <w:cantSplit/>
          <w:trHeight w:val="90"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14:paraId="11115BF3">
            <w:pPr>
              <w:widowControl/>
              <w:adjustRightInd w:val="0"/>
              <w:snapToGrid w:val="0"/>
              <w:spacing w:line="400" w:lineRule="exact"/>
              <w:jc w:val="center"/>
              <w:textAlignment w:val="center"/>
              <w:rPr>
                <w:rFonts w:ascii="仿宋" w:hAnsi="仿宋" w:eastAsia="仿宋" w:cs="仿宋"/>
                <w:sz w:val="28"/>
                <w:szCs w:val="28"/>
              </w:rPr>
            </w:pPr>
            <w:r>
              <w:rPr>
                <w:rFonts w:hint="eastAsia" w:ascii="仿宋" w:hAnsi="仿宋" w:eastAsia="仿宋" w:cs="仿宋"/>
                <w:sz w:val="28"/>
                <w:szCs w:val="28"/>
              </w:rPr>
              <w:t>27</w:t>
            </w:r>
          </w:p>
        </w:tc>
        <w:tc>
          <w:tcPr>
            <w:tcW w:w="683" w:type="dxa"/>
            <w:vMerge w:val="restart"/>
            <w:tcBorders>
              <w:top w:val="single" w:color="auto" w:sz="4" w:space="0"/>
              <w:left w:val="single" w:color="000000" w:sz="4" w:space="0"/>
              <w:bottom w:val="single" w:color="auto" w:sz="4" w:space="0"/>
              <w:right w:val="single" w:color="000000" w:sz="4" w:space="0"/>
            </w:tcBorders>
            <w:vAlign w:val="center"/>
          </w:tcPr>
          <w:p w14:paraId="729BFD5B">
            <w:pPr>
              <w:widowControl/>
              <w:adjustRightInd w:val="0"/>
              <w:snapToGrid w:val="0"/>
              <w:spacing w:line="360" w:lineRule="exact"/>
              <w:jc w:val="left"/>
              <w:textAlignment w:val="center"/>
              <w:rPr>
                <w:rFonts w:ascii="仿宋" w:hAnsi="仿宋" w:eastAsia="仿宋" w:cs="仿宋"/>
                <w:sz w:val="28"/>
                <w:szCs w:val="28"/>
              </w:rPr>
            </w:pPr>
            <w:r>
              <w:rPr>
                <w:rFonts w:hint="eastAsia" w:ascii="仿宋" w:hAnsi="仿宋" w:eastAsia="仿宋" w:cs="仿宋"/>
                <w:sz w:val="28"/>
                <w:szCs w:val="28"/>
              </w:rPr>
              <w:t>保障和改善民生</w:t>
            </w:r>
          </w:p>
        </w:tc>
        <w:tc>
          <w:tcPr>
            <w:tcW w:w="2140" w:type="dxa"/>
            <w:tcBorders>
              <w:top w:val="single" w:color="000000" w:sz="4" w:space="0"/>
              <w:left w:val="single" w:color="000000" w:sz="4" w:space="0"/>
              <w:bottom w:val="single" w:color="000000" w:sz="4" w:space="0"/>
              <w:right w:val="single" w:color="000000" w:sz="4" w:space="0"/>
            </w:tcBorders>
            <w:noWrap/>
            <w:vAlign w:val="center"/>
          </w:tcPr>
          <w:p w14:paraId="0C760ACB">
            <w:pPr>
              <w:widowControl/>
              <w:adjustRightInd w:val="0"/>
              <w:snapToGrid w:val="0"/>
              <w:spacing w:line="360" w:lineRule="exact"/>
              <w:textAlignment w:val="center"/>
              <w:rPr>
                <w:rFonts w:ascii="仿宋" w:hAnsi="仿宋" w:eastAsia="仿宋" w:cs="仿宋"/>
                <w:sz w:val="28"/>
                <w:szCs w:val="28"/>
              </w:rPr>
            </w:pPr>
            <w:r>
              <w:rPr>
                <w:rFonts w:hint="eastAsia" w:ascii="仿宋" w:hAnsi="仿宋" w:eastAsia="仿宋" w:cs="仿宋"/>
                <w:sz w:val="28"/>
                <w:szCs w:val="28"/>
              </w:rPr>
              <w:t>落实高校毕业生“启航扬帆”计划，做好特色招聘、职业指导、培训见习等就业服务。</w:t>
            </w:r>
          </w:p>
        </w:tc>
        <w:tc>
          <w:tcPr>
            <w:tcW w:w="1376" w:type="dxa"/>
            <w:tcBorders>
              <w:top w:val="single" w:color="000000" w:sz="4" w:space="0"/>
              <w:left w:val="single" w:color="000000" w:sz="4" w:space="0"/>
              <w:bottom w:val="single" w:color="000000" w:sz="4" w:space="0"/>
              <w:right w:val="single" w:color="000000" w:sz="4" w:space="0"/>
            </w:tcBorders>
            <w:vAlign w:val="center"/>
          </w:tcPr>
          <w:p w14:paraId="62A8E1EC">
            <w:pPr>
              <w:widowControl/>
              <w:adjustRightInd w:val="0"/>
              <w:snapToGrid w:val="0"/>
              <w:spacing w:line="36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区人力资源社会保障局</w:t>
            </w:r>
          </w:p>
        </w:tc>
        <w:tc>
          <w:tcPr>
            <w:tcW w:w="5629" w:type="dxa"/>
            <w:tcBorders>
              <w:top w:val="single" w:color="000000" w:sz="4" w:space="0"/>
              <w:left w:val="single" w:color="000000" w:sz="4" w:space="0"/>
              <w:bottom w:val="single" w:color="000000" w:sz="4" w:space="0"/>
              <w:right w:val="single" w:color="000000" w:sz="4" w:space="0"/>
            </w:tcBorders>
            <w:vAlign w:val="center"/>
          </w:tcPr>
          <w:p w14:paraId="2CBD02B6">
            <w:pPr>
              <w:widowControl/>
              <w:adjustRightInd w:val="0"/>
              <w:snapToGrid w:val="0"/>
              <w:spacing w:line="400" w:lineRule="exact"/>
              <w:ind w:firstLine="560" w:firstLineChars="200"/>
              <w:jc w:val="left"/>
              <w:textAlignment w:val="center"/>
              <w:rPr>
                <w:rFonts w:ascii="仿宋" w:hAnsi="仿宋" w:eastAsia="仿宋" w:cs="仿宋"/>
                <w:sz w:val="28"/>
                <w:szCs w:val="28"/>
              </w:rPr>
            </w:pPr>
            <w:r>
              <w:rPr>
                <w:rFonts w:hint="eastAsia" w:ascii="仿宋" w:hAnsi="仿宋" w:eastAsia="仿宋" w:cs="仿宋"/>
                <w:sz w:val="28"/>
                <w:szCs w:val="28"/>
              </w:rPr>
              <w:t>1-9月份，开发大学生就业援助岗位244个。组织山东工艺美术学院、山东第一医科大学春季双选会招聘活动，624家企业参会，提供岗位1.67万个。开展送政策服务，前往乾泰大厦、山东厚稷等十余家单位宣讲就业见习政策，派出工作人员40余人次，现场指导企业就业见习岗位开发流程，开发见习岗位2977个。实名登记系统接收槐荫区户籍的2025年度离校未就业高校毕业生949人，联系率、服务率均达100%。</w:t>
            </w:r>
          </w:p>
        </w:tc>
        <w:tc>
          <w:tcPr>
            <w:tcW w:w="5081" w:type="dxa"/>
            <w:tcBorders>
              <w:top w:val="single" w:color="000000" w:sz="4" w:space="0"/>
              <w:left w:val="single" w:color="000000" w:sz="4" w:space="0"/>
              <w:bottom w:val="single" w:color="000000" w:sz="4" w:space="0"/>
              <w:right w:val="single" w:color="000000" w:sz="4" w:space="0"/>
            </w:tcBorders>
            <w:vAlign w:val="center"/>
          </w:tcPr>
          <w:p w14:paraId="14B92906">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下一步，区人社局将持续开展高校毕业生特色招聘活动，积极对接包挂的驻济高校，在秋季招聘季开展“选择济南 共赢未来”系列招聘活动。同时，结合“人社惠企直通车”人社政策宣讲，开展公共就业服务进校园活动。深入辖区企业广泛开展就业见习政策宣讲，持续推动政策宣传、招聘服务、就业指导、创业服务、职业培训等“进校园”“进企业”，广泛提升政策服务知晓度。</w:t>
            </w:r>
          </w:p>
        </w:tc>
      </w:tr>
      <w:tr w14:paraId="7D491F91">
        <w:tblPrEx>
          <w:tblCellMar>
            <w:top w:w="0" w:type="dxa"/>
            <w:left w:w="108" w:type="dxa"/>
            <w:bottom w:w="0" w:type="dxa"/>
            <w:right w:w="108" w:type="dxa"/>
          </w:tblCellMar>
        </w:tblPrEx>
        <w:trPr>
          <w:cantSplit/>
          <w:trHeight w:val="2645"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14:paraId="46A09CFE">
            <w:pPr>
              <w:widowControl/>
              <w:adjustRightInd w:val="0"/>
              <w:snapToGrid w:val="0"/>
              <w:spacing w:line="400" w:lineRule="exact"/>
              <w:jc w:val="center"/>
              <w:textAlignment w:val="center"/>
              <w:rPr>
                <w:rFonts w:ascii="仿宋" w:hAnsi="仿宋" w:eastAsia="仿宋" w:cs="仿宋"/>
                <w:sz w:val="28"/>
                <w:szCs w:val="28"/>
              </w:rPr>
            </w:pPr>
            <w:r>
              <w:rPr>
                <w:rFonts w:hint="eastAsia" w:ascii="仿宋" w:hAnsi="仿宋" w:eastAsia="仿宋" w:cs="仿宋"/>
                <w:sz w:val="28"/>
                <w:szCs w:val="28"/>
              </w:rPr>
              <w:t>28</w:t>
            </w:r>
          </w:p>
        </w:tc>
        <w:tc>
          <w:tcPr>
            <w:tcW w:w="683" w:type="dxa"/>
            <w:vMerge w:val="continue"/>
            <w:tcBorders>
              <w:top w:val="single" w:color="auto" w:sz="4" w:space="0"/>
              <w:left w:val="single" w:color="000000" w:sz="4" w:space="0"/>
              <w:bottom w:val="single" w:color="auto" w:sz="4" w:space="0"/>
              <w:right w:val="single" w:color="000000" w:sz="4" w:space="0"/>
            </w:tcBorders>
            <w:vAlign w:val="center"/>
          </w:tcPr>
          <w:p w14:paraId="11BBC999">
            <w:pPr>
              <w:widowControl/>
              <w:adjustRightInd w:val="0"/>
              <w:snapToGrid w:val="0"/>
              <w:spacing w:line="360" w:lineRule="exact"/>
              <w:jc w:val="left"/>
              <w:rPr>
                <w:rFonts w:ascii="仿宋" w:hAnsi="仿宋" w:eastAsia="仿宋" w:cs="仿宋"/>
                <w:sz w:val="28"/>
                <w:szCs w:val="28"/>
              </w:rPr>
            </w:pPr>
          </w:p>
        </w:tc>
        <w:tc>
          <w:tcPr>
            <w:tcW w:w="2140" w:type="dxa"/>
            <w:tcBorders>
              <w:top w:val="single" w:color="000000" w:sz="4" w:space="0"/>
              <w:left w:val="single" w:color="000000" w:sz="4" w:space="0"/>
              <w:bottom w:val="single" w:color="000000" w:sz="4" w:space="0"/>
              <w:right w:val="single" w:color="000000" w:sz="4" w:space="0"/>
            </w:tcBorders>
            <w:noWrap/>
            <w:vAlign w:val="center"/>
          </w:tcPr>
          <w:p w14:paraId="279CC14D">
            <w:pPr>
              <w:widowControl/>
              <w:adjustRightInd w:val="0"/>
              <w:snapToGrid w:val="0"/>
              <w:spacing w:line="360" w:lineRule="exact"/>
              <w:textAlignment w:val="center"/>
              <w:rPr>
                <w:rFonts w:ascii="仿宋" w:hAnsi="仿宋" w:eastAsia="仿宋" w:cs="仿宋"/>
                <w:sz w:val="28"/>
                <w:szCs w:val="28"/>
              </w:rPr>
            </w:pPr>
            <w:r>
              <w:rPr>
                <w:rFonts w:hint="eastAsia" w:ascii="仿宋" w:hAnsi="仿宋" w:eastAsia="仿宋" w:cs="仿宋"/>
                <w:sz w:val="28"/>
                <w:szCs w:val="28"/>
              </w:rPr>
              <w:t>持续扩增教育资源，新建君悦首府幼儿园等5处教育设施，新增学位1710个。</w:t>
            </w:r>
          </w:p>
        </w:tc>
        <w:tc>
          <w:tcPr>
            <w:tcW w:w="1376" w:type="dxa"/>
            <w:tcBorders>
              <w:top w:val="single" w:color="000000" w:sz="4" w:space="0"/>
              <w:left w:val="single" w:color="000000" w:sz="4" w:space="0"/>
              <w:bottom w:val="single" w:color="000000" w:sz="4" w:space="0"/>
              <w:right w:val="single" w:color="000000" w:sz="4" w:space="0"/>
            </w:tcBorders>
            <w:vAlign w:val="center"/>
          </w:tcPr>
          <w:p w14:paraId="3ED359C0">
            <w:pPr>
              <w:widowControl/>
              <w:adjustRightInd w:val="0"/>
              <w:snapToGrid w:val="0"/>
              <w:spacing w:line="36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区教育和体育局</w:t>
            </w:r>
          </w:p>
        </w:tc>
        <w:tc>
          <w:tcPr>
            <w:tcW w:w="5629" w:type="dxa"/>
            <w:tcBorders>
              <w:top w:val="single" w:color="000000" w:sz="4" w:space="0"/>
              <w:left w:val="single" w:color="000000" w:sz="4" w:space="0"/>
              <w:bottom w:val="single" w:color="000000" w:sz="4" w:space="0"/>
              <w:right w:val="single" w:color="000000" w:sz="4" w:space="0"/>
            </w:tcBorders>
            <w:vAlign w:val="center"/>
          </w:tcPr>
          <w:p w14:paraId="125F82B6">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西沙王庄城中村改造项目X-1地块幼儿园、君悦首府幼儿园、青岛路以北X地块幼儿园3处教育设施已完工；腊山河西路东侧X-1地块幼儿园教学楼基本完工，正在进行室外工程施工；海信时代城15班幼儿园正在进行主体施工。</w:t>
            </w:r>
          </w:p>
        </w:tc>
        <w:tc>
          <w:tcPr>
            <w:tcW w:w="5081" w:type="dxa"/>
            <w:tcBorders>
              <w:top w:val="single" w:color="000000" w:sz="4" w:space="0"/>
              <w:left w:val="single" w:color="000000" w:sz="4" w:space="0"/>
              <w:bottom w:val="single" w:color="000000" w:sz="4" w:space="0"/>
              <w:right w:val="single" w:color="000000" w:sz="4" w:space="0"/>
            </w:tcBorders>
            <w:vAlign w:val="center"/>
          </w:tcPr>
          <w:p w14:paraId="35BC52AC">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积极协助代建单位办理项目建设手续，督促代建单位在保障安全和质量的前提下加快施工进度,确保完成各项建设和开工任务，做好教育设施的对接接收工作。</w:t>
            </w:r>
          </w:p>
        </w:tc>
      </w:tr>
      <w:tr w14:paraId="588738D1">
        <w:tblPrEx>
          <w:tblCellMar>
            <w:top w:w="0" w:type="dxa"/>
            <w:left w:w="108" w:type="dxa"/>
            <w:bottom w:w="0" w:type="dxa"/>
            <w:right w:w="108" w:type="dxa"/>
          </w:tblCellMar>
        </w:tblPrEx>
        <w:trPr>
          <w:cantSplit/>
          <w:trHeight w:val="1895"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14:paraId="6C7137DD">
            <w:pPr>
              <w:widowControl/>
              <w:adjustRightInd w:val="0"/>
              <w:snapToGrid w:val="0"/>
              <w:spacing w:line="400" w:lineRule="exact"/>
              <w:jc w:val="center"/>
              <w:textAlignment w:val="center"/>
              <w:rPr>
                <w:rFonts w:ascii="仿宋" w:hAnsi="仿宋" w:eastAsia="仿宋" w:cs="仿宋"/>
                <w:sz w:val="28"/>
                <w:szCs w:val="28"/>
              </w:rPr>
            </w:pPr>
            <w:r>
              <w:rPr>
                <w:rFonts w:hint="eastAsia" w:ascii="仿宋" w:hAnsi="仿宋" w:eastAsia="仿宋" w:cs="仿宋"/>
                <w:sz w:val="28"/>
                <w:szCs w:val="28"/>
              </w:rPr>
              <w:t>29</w:t>
            </w:r>
          </w:p>
        </w:tc>
        <w:tc>
          <w:tcPr>
            <w:tcW w:w="683" w:type="dxa"/>
            <w:vMerge w:val="continue"/>
            <w:tcBorders>
              <w:top w:val="single" w:color="auto" w:sz="4" w:space="0"/>
              <w:left w:val="single" w:color="000000" w:sz="4" w:space="0"/>
              <w:bottom w:val="single" w:color="auto" w:sz="4" w:space="0"/>
              <w:right w:val="single" w:color="000000" w:sz="4" w:space="0"/>
            </w:tcBorders>
            <w:vAlign w:val="center"/>
          </w:tcPr>
          <w:p w14:paraId="564E3CF7">
            <w:pPr>
              <w:widowControl/>
              <w:adjustRightInd w:val="0"/>
              <w:snapToGrid w:val="0"/>
              <w:spacing w:line="360" w:lineRule="exact"/>
              <w:jc w:val="left"/>
              <w:rPr>
                <w:rFonts w:ascii="仿宋" w:hAnsi="仿宋" w:eastAsia="仿宋" w:cs="仿宋"/>
                <w:sz w:val="28"/>
                <w:szCs w:val="28"/>
              </w:rPr>
            </w:pPr>
          </w:p>
        </w:tc>
        <w:tc>
          <w:tcPr>
            <w:tcW w:w="2140" w:type="dxa"/>
            <w:tcBorders>
              <w:top w:val="single" w:color="000000" w:sz="4" w:space="0"/>
              <w:left w:val="single" w:color="000000" w:sz="4" w:space="0"/>
              <w:bottom w:val="single" w:color="000000" w:sz="4" w:space="0"/>
              <w:right w:val="single" w:color="000000" w:sz="4" w:space="0"/>
            </w:tcBorders>
            <w:noWrap/>
            <w:vAlign w:val="center"/>
          </w:tcPr>
          <w:p w14:paraId="6164A84A">
            <w:pPr>
              <w:widowControl/>
              <w:adjustRightInd w:val="0"/>
              <w:snapToGrid w:val="0"/>
              <w:spacing w:line="360" w:lineRule="exact"/>
              <w:textAlignment w:val="center"/>
              <w:rPr>
                <w:rFonts w:ascii="仿宋" w:hAnsi="仿宋" w:eastAsia="仿宋" w:cs="仿宋"/>
                <w:sz w:val="28"/>
                <w:szCs w:val="28"/>
              </w:rPr>
            </w:pPr>
            <w:r>
              <w:rPr>
                <w:rFonts w:hint="eastAsia" w:ascii="仿宋" w:hAnsi="仿宋" w:eastAsia="仿宋" w:cs="仿宋"/>
                <w:sz w:val="28"/>
                <w:szCs w:val="28"/>
              </w:rPr>
              <w:t>建设区劳动教育研学基地，打造一批劳动教育优质课程资源。</w:t>
            </w:r>
          </w:p>
        </w:tc>
        <w:tc>
          <w:tcPr>
            <w:tcW w:w="1376" w:type="dxa"/>
            <w:tcBorders>
              <w:top w:val="single" w:color="000000" w:sz="4" w:space="0"/>
              <w:left w:val="single" w:color="000000" w:sz="4" w:space="0"/>
              <w:bottom w:val="single" w:color="000000" w:sz="4" w:space="0"/>
              <w:right w:val="single" w:color="000000" w:sz="4" w:space="0"/>
            </w:tcBorders>
            <w:vAlign w:val="center"/>
          </w:tcPr>
          <w:p w14:paraId="6B4ED669">
            <w:pPr>
              <w:widowControl/>
              <w:adjustRightInd w:val="0"/>
              <w:snapToGrid w:val="0"/>
              <w:spacing w:line="36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区教育和体育局</w:t>
            </w:r>
          </w:p>
        </w:tc>
        <w:tc>
          <w:tcPr>
            <w:tcW w:w="5629" w:type="dxa"/>
            <w:tcBorders>
              <w:top w:val="single" w:color="000000" w:sz="4" w:space="0"/>
              <w:left w:val="single" w:color="000000" w:sz="4" w:space="0"/>
              <w:bottom w:val="single" w:color="000000" w:sz="4" w:space="0"/>
              <w:right w:val="single" w:color="000000" w:sz="4" w:space="0"/>
            </w:tcBorders>
            <w:vAlign w:val="center"/>
          </w:tcPr>
          <w:p w14:paraId="308EB1AB">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旺久劳动教育基地已基本完工，劳动实践项目、课程资源和工作方案已基本完成，具备开展劳动教育活动的条件；双龙湾项目仍处于施工建设阶段，不具备启用条件。</w:t>
            </w:r>
          </w:p>
        </w:tc>
        <w:tc>
          <w:tcPr>
            <w:tcW w:w="5081" w:type="dxa"/>
            <w:tcBorders>
              <w:top w:val="single" w:color="000000" w:sz="4" w:space="0"/>
              <w:left w:val="single" w:color="000000" w:sz="4" w:space="0"/>
              <w:bottom w:val="single" w:color="000000" w:sz="4" w:space="0"/>
              <w:right w:val="single" w:color="000000" w:sz="4" w:space="0"/>
            </w:tcBorders>
            <w:vAlign w:val="center"/>
          </w:tcPr>
          <w:p w14:paraId="7E02E789">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计划于10月下旬，联合区农</w:t>
            </w:r>
            <w:r>
              <w:rPr>
                <w:rFonts w:hint="eastAsia" w:ascii="仿宋" w:hAnsi="仿宋" w:eastAsia="仿宋" w:cs="仿宋"/>
                <w:sz w:val="28"/>
                <w:szCs w:val="28"/>
                <w:lang w:val="en-US" w:eastAsia="zh-CN"/>
              </w:rPr>
              <w:t>业</w:t>
            </w:r>
            <w:r>
              <w:rPr>
                <w:rFonts w:hint="eastAsia" w:ascii="仿宋" w:hAnsi="仿宋" w:eastAsia="仿宋" w:cs="仿宋"/>
                <w:sz w:val="28"/>
                <w:szCs w:val="28"/>
              </w:rPr>
              <w:t>农</w:t>
            </w:r>
            <w:r>
              <w:rPr>
                <w:rFonts w:hint="eastAsia" w:ascii="仿宋" w:hAnsi="仿宋" w:eastAsia="仿宋" w:cs="仿宋"/>
                <w:sz w:val="28"/>
                <w:szCs w:val="28"/>
                <w:lang w:val="en-US" w:eastAsia="zh-CN"/>
              </w:rPr>
              <w:t>村</w:t>
            </w:r>
            <w:bookmarkStart w:id="2" w:name="_GoBack"/>
            <w:bookmarkEnd w:id="2"/>
            <w:r>
              <w:rPr>
                <w:rFonts w:hint="eastAsia" w:ascii="仿宋" w:hAnsi="仿宋" w:eastAsia="仿宋" w:cs="仿宋"/>
                <w:sz w:val="28"/>
                <w:szCs w:val="28"/>
              </w:rPr>
              <w:t>局、吴家堡街道办事处、济南旺久农业有限公司共同签署合作协议，举办槐荫区青少年劳动教育基地授牌启动仪式。</w:t>
            </w:r>
          </w:p>
        </w:tc>
      </w:tr>
      <w:tr w14:paraId="1E4FC721">
        <w:tblPrEx>
          <w:tblCellMar>
            <w:top w:w="0" w:type="dxa"/>
            <w:left w:w="108" w:type="dxa"/>
            <w:bottom w:w="0" w:type="dxa"/>
            <w:right w:w="108" w:type="dxa"/>
          </w:tblCellMar>
        </w:tblPrEx>
        <w:trPr>
          <w:cantSplit/>
          <w:trHeight w:val="2715"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14:paraId="4EBC79E3">
            <w:pPr>
              <w:widowControl/>
              <w:adjustRightInd w:val="0"/>
              <w:snapToGrid w:val="0"/>
              <w:spacing w:line="400" w:lineRule="exact"/>
              <w:jc w:val="center"/>
              <w:textAlignment w:val="center"/>
              <w:rPr>
                <w:rFonts w:ascii="仿宋" w:hAnsi="仿宋" w:eastAsia="仿宋" w:cs="仿宋"/>
                <w:sz w:val="28"/>
                <w:szCs w:val="28"/>
              </w:rPr>
            </w:pPr>
            <w:r>
              <w:rPr>
                <w:rFonts w:hint="eastAsia" w:ascii="仿宋" w:hAnsi="仿宋" w:eastAsia="仿宋" w:cs="仿宋"/>
                <w:sz w:val="28"/>
                <w:szCs w:val="28"/>
              </w:rPr>
              <w:t>30</w:t>
            </w:r>
          </w:p>
        </w:tc>
        <w:tc>
          <w:tcPr>
            <w:tcW w:w="683" w:type="dxa"/>
            <w:vMerge w:val="continue"/>
            <w:tcBorders>
              <w:top w:val="single" w:color="auto" w:sz="4" w:space="0"/>
              <w:left w:val="single" w:color="000000" w:sz="4" w:space="0"/>
              <w:bottom w:val="single" w:color="auto" w:sz="4" w:space="0"/>
              <w:right w:val="single" w:color="000000" w:sz="4" w:space="0"/>
            </w:tcBorders>
            <w:vAlign w:val="center"/>
          </w:tcPr>
          <w:p w14:paraId="1CD53DAE">
            <w:pPr>
              <w:widowControl/>
              <w:adjustRightInd w:val="0"/>
              <w:snapToGrid w:val="0"/>
              <w:spacing w:line="360" w:lineRule="exact"/>
              <w:jc w:val="left"/>
              <w:rPr>
                <w:rFonts w:ascii="仿宋" w:hAnsi="仿宋" w:eastAsia="仿宋" w:cs="仿宋"/>
                <w:sz w:val="28"/>
                <w:szCs w:val="28"/>
              </w:rPr>
            </w:pPr>
          </w:p>
        </w:tc>
        <w:tc>
          <w:tcPr>
            <w:tcW w:w="2140" w:type="dxa"/>
            <w:tcBorders>
              <w:top w:val="single" w:color="000000" w:sz="4" w:space="0"/>
              <w:left w:val="single" w:color="000000" w:sz="4" w:space="0"/>
              <w:bottom w:val="single" w:color="000000" w:sz="4" w:space="0"/>
              <w:right w:val="single" w:color="000000" w:sz="4" w:space="0"/>
            </w:tcBorders>
            <w:noWrap/>
            <w:vAlign w:val="center"/>
          </w:tcPr>
          <w:p w14:paraId="2561C225">
            <w:pPr>
              <w:widowControl/>
              <w:adjustRightInd w:val="0"/>
              <w:snapToGrid w:val="0"/>
              <w:spacing w:line="360" w:lineRule="exact"/>
              <w:textAlignment w:val="center"/>
              <w:rPr>
                <w:rFonts w:ascii="仿宋" w:hAnsi="仿宋" w:eastAsia="仿宋" w:cs="仿宋"/>
                <w:sz w:val="28"/>
                <w:szCs w:val="28"/>
              </w:rPr>
            </w:pPr>
            <w:r>
              <w:rPr>
                <w:rFonts w:hint="eastAsia" w:ascii="仿宋" w:hAnsi="仿宋" w:eastAsia="仿宋" w:cs="仿宋"/>
                <w:bCs/>
                <w:sz w:val="28"/>
                <w:szCs w:val="28"/>
              </w:rPr>
              <w:t>深化“互联网+养老”模式，</w:t>
            </w:r>
            <w:r>
              <w:rPr>
                <w:rFonts w:hint="eastAsia" w:ascii="仿宋" w:hAnsi="仿宋" w:eastAsia="仿宋" w:cs="仿宋"/>
                <w:sz w:val="28"/>
                <w:szCs w:val="28"/>
              </w:rPr>
              <w:t>新建4家养老服务机构、</w:t>
            </w:r>
            <w:r>
              <w:rPr>
                <w:rFonts w:hint="eastAsia" w:ascii="仿宋" w:hAnsi="仿宋" w:eastAsia="仿宋" w:cs="仿宋"/>
                <w:bCs/>
                <w:sz w:val="28"/>
                <w:szCs w:val="28"/>
              </w:rPr>
              <w:t>1处银发经济综合体。</w:t>
            </w:r>
          </w:p>
        </w:tc>
        <w:tc>
          <w:tcPr>
            <w:tcW w:w="1376" w:type="dxa"/>
            <w:tcBorders>
              <w:top w:val="single" w:color="000000" w:sz="4" w:space="0"/>
              <w:left w:val="single" w:color="000000" w:sz="4" w:space="0"/>
              <w:bottom w:val="single" w:color="000000" w:sz="4" w:space="0"/>
              <w:right w:val="single" w:color="000000" w:sz="4" w:space="0"/>
            </w:tcBorders>
            <w:vAlign w:val="center"/>
          </w:tcPr>
          <w:p w14:paraId="1CFDB0BA">
            <w:pPr>
              <w:widowControl/>
              <w:adjustRightInd w:val="0"/>
              <w:snapToGrid w:val="0"/>
              <w:spacing w:line="36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区民政局</w:t>
            </w:r>
          </w:p>
        </w:tc>
        <w:tc>
          <w:tcPr>
            <w:tcW w:w="5629" w:type="dxa"/>
            <w:tcBorders>
              <w:top w:val="single" w:color="000000" w:sz="4" w:space="0"/>
              <w:left w:val="single" w:color="000000" w:sz="4" w:space="0"/>
              <w:bottom w:val="single" w:color="000000" w:sz="4" w:space="0"/>
              <w:right w:val="single" w:color="000000" w:sz="4" w:space="0"/>
            </w:tcBorders>
            <w:vAlign w:val="center"/>
          </w:tcPr>
          <w:p w14:paraId="19B973E5">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kern w:val="0"/>
                <w:sz w:val="28"/>
                <w:szCs w:val="28"/>
              </w:rPr>
              <w:t>牵头成立区银发经济工作推进专班，先后两次联合国家发展和改革委员会社会发展研究所开展银发经济调研，编制《济南市槐荫区“十五五”银发经济发展规划》，4处新建小区配套养老服务机构已完成第三方运营管理招标，服务企业正在进行装修改造。</w:t>
            </w:r>
          </w:p>
        </w:tc>
        <w:tc>
          <w:tcPr>
            <w:tcW w:w="5081" w:type="dxa"/>
            <w:tcBorders>
              <w:top w:val="single" w:color="000000" w:sz="4" w:space="0"/>
              <w:left w:val="single" w:color="000000" w:sz="4" w:space="0"/>
              <w:bottom w:val="single" w:color="000000" w:sz="4" w:space="0"/>
              <w:right w:val="single" w:color="000000" w:sz="4" w:space="0"/>
            </w:tcBorders>
            <w:vAlign w:val="center"/>
          </w:tcPr>
          <w:p w14:paraId="736943D3">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kern w:val="0"/>
                <w:sz w:val="28"/>
                <w:szCs w:val="28"/>
              </w:rPr>
              <w:t>加强与专家团队沟通对接，尽快形成《济南市槐荫区“十五五”银发经济发展规划》文稿，进一步明确银发经济发展的总体思路，推动项目落地。继续深化健全“互联网+养老”综合监管机制，加快推进4处养老服务机构改造装修进度。</w:t>
            </w:r>
          </w:p>
        </w:tc>
      </w:tr>
      <w:tr w14:paraId="20B58471">
        <w:tblPrEx>
          <w:tblCellMar>
            <w:top w:w="0" w:type="dxa"/>
            <w:left w:w="108" w:type="dxa"/>
            <w:bottom w:w="0" w:type="dxa"/>
            <w:right w:w="108" w:type="dxa"/>
          </w:tblCellMar>
        </w:tblPrEx>
        <w:trPr>
          <w:cantSplit/>
          <w:trHeight w:val="4175"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14:paraId="159AAF09">
            <w:pPr>
              <w:widowControl/>
              <w:adjustRightInd w:val="0"/>
              <w:snapToGrid w:val="0"/>
              <w:spacing w:line="400" w:lineRule="exact"/>
              <w:jc w:val="center"/>
              <w:textAlignment w:val="center"/>
              <w:rPr>
                <w:rFonts w:ascii="仿宋" w:hAnsi="仿宋" w:eastAsia="仿宋" w:cs="仿宋"/>
                <w:sz w:val="28"/>
                <w:szCs w:val="28"/>
              </w:rPr>
            </w:pPr>
            <w:r>
              <w:rPr>
                <w:rFonts w:hint="eastAsia" w:ascii="仿宋" w:hAnsi="仿宋" w:eastAsia="仿宋" w:cs="仿宋"/>
                <w:sz w:val="28"/>
                <w:szCs w:val="28"/>
              </w:rPr>
              <w:t>31</w:t>
            </w:r>
          </w:p>
        </w:tc>
        <w:tc>
          <w:tcPr>
            <w:tcW w:w="683" w:type="dxa"/>
            <w:vMerge w:val="continue"/>
            <w:tcBorders>
              <w:top w:val="single" w:color="auto" w:sz="4" w:space="0"/>
              <w:left w:val="single" w:color="000000" w:sz="4" w:space="0"/>
              <w:bottom w:val="single" w:color="auto" w:sz="4" w:space="0"/>
              <w:right w:val="single" w:color="000000" w:sz="4" w:space="0"/>
            </w:tcBorders>
            <w:vAlign w:val="center"/>
          </w:tcPr>
          <w:p w14:paraId="3050A01D">
            <w:pPr>
              <w:widowControl/>
              <w:adjustRightInd w:val="0"/>
              <w:snapToGrid w:val="0"/>
              <w:spacing w:line="360" w:lineRule="exact"/>
              <w:jc w:val="left"/>
              <w:rPr>
                <w:rFonts w:ascii="仿宋" w:hAnsi="仿宋" w:eastAsia="仿宋" w:cs="仿宋"/>
                <w:sz w:val="28"/>
                <w:szCs w:val="28"/>
              </w:rPr>
            </w:pPr>
          </w:p>
        </w:tc>
        <w:tc>
          <w:tcPr>
            <w:tcW w:w="2140" w:type="dxa"/>
            <w:tcBorders>
              <w:top w:val="single" w:color="000000" w:sz="4" w:space="0"/>
              <w:left w:val="single" w:color="000000" w:sz="4" w:space="0"/>
              <w:bottom w:val="single" w:color="000000" w:sz="4" w:space="0"/>
              <w:right w:val="single" w:color="000000" w:sz="4" w:space="0"/>
            </w:tcBorders>
            <w:noWrap/>
            <w:vAlign w:val="center"/>
          </w:tcPr>
          <w:p w14:paraId="67B8BACD">
            <w:pPr>
              <w:widowControl/>
              <w:adjustRightInd w:val="0"/>
              <w:snapToGrid w:val="0"/>
              <w:spacing w:line="360" w:lineRule="exact"/>
              <w:textAlignment w:val="center"/>
              <w:rPr>
                <w:rFonts w:ascii="仿宋" w:hAnsi="仿宋" w:eastAsia="仿宋" w:cs="仿宋"/>
                <w:bCs/>
                <w:sz w:val="28"/>
                <w:szCs w:val="28"/>
              </w:rPr>
            </w:pPr>
            <w:r>
              <w:rPr>
                <w:rFonts w:hint="eastAsia" w:ascii="仿宋" w:hAnsi="仿宋" w:eastAsia="仿宋" w:cs="仿宋"/>
                <w:sz w:val="28"/>
                <w:szCs w:val="28"/>
              </w:rPr>
              <w:t>推进“健康槐荫”</w:t>
            </w:r>
            <w:r>
              <w:rPr>
                <w:rFonts w:hint="eastAsia" w:ascii="仿宋" w:hAnsi="仿宋" w:eastAsia="仿宋" w:cs="仿宋"/>
                <w:bCs/>
                <w:sz w:val="28"/>
                <w:szCs w:val="28"/>
              </w:rPr>
              <w:t>行动</w:t>
            </w:r>
            <w:r>
              <w:rPr>
                <w:rFonts w:hint="eastAsia" w:ascii="仿宋" w:hAnsi="仿宋" w:eastAsia="仿宋" w:cs="仿宋"/>
                <w:sz w:val="28"/>
                <w:szCs w:val="28"/>
              </w:rPr>
              <w:t>，提升改造20家村卫生室，推动槐荫人民医院实现创新高质量发展。</w:t>
            </w:r>
          </w:p>
        </w:tc>
        <w:tc>
          <w:tcPr>
            <w:tcW w:w="1376" w:type="dxa"/>
            <w:tcBorders>
              <w:top w:val="single" w:color="000000" w:sz="4" w:space="0"/>
              <w:left w:val="single" w:color="000000" w:sz="4" w:space="0"/>
              <w:bottom w:val="single" w:color="000000" w:sz="4" w:space="0"/>
              <w:right w:val="single" w:color="000000" w:sz="4" w:space="0"/>
            </w:tcBorders>
            <w:vAlign w:val="center"/>
          </w:tcPr>
          <w:p w14:paraId="4639D040">
            <w:pPr>
              <w:widowControl/>
              <w:adjustRightInd w:val="0"/>
              <w:snapToGrid w:val="0"/>
              <w:spacing w:line="36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区卫生健康局</w:t>
            </w:r>
          </w:p>
        </w:tc>
        <w:tc>
          <w:tcPr>
            <w:tcW w:w="5629" w:type="dxa"/>
            <w:tcBorders>
              <w:top w:val="single" w:color="000000" w:sz="4" w:space="0"/>
              <w:left w:val="single" w:color="000000" w:sz="4" w:space="0"/>
              <w:bottom w:val="single" w:color="000000" w:sz="4" w:space="0"/>
              <w:right w:val="single" w:color="000000" w:sz="4" w:space="0"/>
            </w:tcBorders>
            <w:vAlign w:val="center"/>
          </w:tcPr>
          <w:p w14:paraId="753938F7">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开展第37个全国爱国卫生月、第38个世界无烟日宣传活动；加强病媒生物防制，培训各街道工作人员70余名，开展网格员应急急救知识培训共656人；开展6次督导检查，召开2次村卫生室督导反馈会议，12家村卫生室已完成提升改造待市级验收，8家在积极提升改造中；</w:t>
            </w:r>
            <w:r>
              <w:rPr>
                <w:rFonts w:hint="eastAsia" w:ascii="仿宋" w:hAnsi="仿宋" w:eastAsia="仿宋" w:cs="仿宋"/>
                <w:kern w:val="0"/>
                <w:sz w:val="28"/>
                <w:szCs w:val="28"/>
              </w:rPr>
              <w:t>槐荫人民医院急诊综合楼正式投入使用，前三季度出院患者手术占比49.33%，同比增长2.81%，三级手术占比20.44%，同比增长2.77%，病床使用率66.29%，同比增长4.28%。</w:t>
            </w:r>
          </w:p>
        </w:tc>
        <w:tc>
          <w:tcPr>
            <w:tcW w:w="5081" w:type="dxa"/>
            <w:tcBorders>
              <w:top w:val="single" w:color="000000" w:sz="4" w:space="0"/>
              <w:left w:val="single" w:color="000000" w:sz="4" w:space="0"/>
              <w:bottom w:val="single" w:color="000000" w:sz="4" w:space="0"/>
              <w:right w:val="single" w:color="000000" w:sz="4" w:space="0"/>
            </w:tcBorders>
            <w:vAlign w:val="center"/>
          </w:tcPr>
          <w:p w14:paraId="3AC6BFE6">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一是定期统计“健康槐荫”34项数据指标，开展健康知识科普活动，不断提升居民健康素养水平，组织责任单位深入贯彻落实18项健康行动；二是针对房屋产权公有等问题协调有关部门，督促有关街道、村居尽快落实村卫生室房屋产权公有；三是</w:t>
            </w:r>
            <w:r>
              <w:rPr>
                <w:rFonts w:hint="eastAsia" w:ascii="仿宋" w:hAnsi="仿宋" w:eastAsia="仿宋" w:cs="仿宋"/>
                <w:kern w:val="0"/>
                <w:sz w:val="28"/>
                <w:szCs w:val="28"/>
              </w:rPr>
              <w:t>协助槐荫人民医院各个科室建设与运营，进一步推进与中国人民解放军总医院第七医学中心紧密性合作，发挥知名专家入驻优势，全面推动医院高质量发展。</w:t>
            </w:r>
          </w:p>
        </w:tc>
      </w:tr>
      <w:tr w14:paraId="3581DFE2">
        <w:tblPrEx>
          <w:tblCellMar>
            <w:top w:w="0" w:type="dxa"/>
            <w:left w:w="108" w:type="dxa"/>
            <w:bottom w:w="0" w:type="dxa"/>
            <w:right w:w="108" w:type="dxa"/>
          </w:tblCellMar>
        </w:tblPrEx>
        <w:trPr>
          <w:cantSplit/>
          <w:trHeight w:val="2115" w:hRule="atLeast"/>
          <w:jc w:val="center"/>
        </w:trPr>
        <w:tc>
          <w:tcPr>
            <w:tcW w:w="836" w:type="dxa"/>
            <w:tcBorders>
              <w:top w:val="single" w:color="000000" w:sz="4" w:space="0"/>
              <w:left w:val="single" w:color="000000" w:sz="4" w:space="0"/>
              <w:bottom w:val="single" w:color="000000" w:sz="4" w:space="0"/>
              <w:right w:val="single" w:color="000000" w:sz="4" w:space="0"/>
            </w:tcBorders>
            <w:vAlign w:val="center"/>
          </w:tcPr>
          <w:p w14:paraId="4CCB2A75">
            <w:pPr>
              <w:widowControl/>
              <w:adjustRightInd w:val="0"/>
              <w:snapToGrid w:val="0"/>
              <w:spacing w:line="400" w:lineRule="exact"/>
              <w:jc w:val="center"/>
              <w:textAlignment w:val="center"/>
              <w:rPr>
                <w:rFonts w:ascii="仿宋" w:hAnsi="仿宋" w:eastAsia="仿宋" w:cs="仿宋"/>
                <w:sz w:val="28"/>
                <w:szCs w:val="28"/>
              </w:rPr>
            </w:pPr>
            <w:r>
              <w:rPr>
                <w:rFonts w:hint="eastAsia" w:ascii="仿宋" w:hAnsi="仿宋" w:eastAsia="仿宋" w:cs="仿宋"/>
                <w:sz w:val="28"/>
                <w:szCs w:val="28"/>
              </w:rPr>
              <w:t>32</w:t>
            </w:r>
          </w:p>
        </w:tc>
        <w:tc>
          <w:tcPr>
            <w:tcW w:w="683" w:type="dxa"/>
            <w:vMerge w:val="continue"/>
            <w:tcBorders>
              <w:top w:val="single" w:color="auto" w:sz="4" w:space="0"/>
              <w:left w:val="single" w:color="000000" w:sz="4" w:space="0"/>
              <w:bottom w:val="single" w:color="auto" w:sz="4" w:space="0"/>
              <w:right w:val="single" w:color="000000" w:sz="4" w:space="0"/>
            </w:tcBorders>
            <w:vAlign w:val="center"/>
          </w:tcPr>
          <w:p w14:paraId="73AA129E">
            <w:pPr>
              <w:widowControl/>
              <w:adjustRightInd w:val="0"/>
              <w:snapToGrid w:val="0"/>
              <w:spacing w:line="360" w:lineRule="exact"/>
              <w:jc w:val="left"/>
              <w:rPr>
                <w:rFonts w:ascii="仿宋" w:hAnsi="仿宋" w:eastAsia="仿宋" w:cs="仿宋"/>
                <w:sz w:val="28"/>
                <w:szCs w:val="28"/>
              </w:rPr>
            </w:pPr>
          </w:p>
        </w:tc>
        <w:tc>
          <w:tcPr>
            <w:tcW w:w="2140" w:type="dxa"/>
            <w:tcBorders>
              <w:top w:val="single" w:color="000000" w:sz="4" w:space="0"/>
              <w:left w:val="single" w:color="000000" w:sz="4" w:space="0"/>
              <w:bottom w:val="single" w:color="000000" w:sz="4" w:space="0"/>
              <w:right w:val="single" w:color="000000" w:sz="4" w:space="0"/>
            </w:tcBorders>
            <w:noWrap/>
            <w:vAlign w:val="center"/>
          </w:tcPr>
          <w:p w14:paraId="2BF0BF15">
            <w:pPr>
              <w:widowControl/>
              <w:adjustRightInd w:val="0"/>
              <w:snapToGrid w:val="0"/>
              <w:spacing w:line="360" w:lineRule="exact"/>
              <w:textAlignment w:val="center"/>
              <w:rPr>
                <w:rFonts w:ascii="仿宋" w:hAnsi="仿宋" w:eastAsia="仿宋" w:cs="仿宋"/>
                <w:sz w:val="28"/>
                <w:szCs w:val="28"/>
              </w:rPr>
            </w:pPr>
            <w:r>
              <w:rPr>
                <w:rFonts w:hint="eastAsia" w:ascii="仿宋" w:hAnsi="仿宋" w:eastAsia="仿宋" w:cs="仿宋"/>
                <w:sz w:val="28"/>
                <w:szCs w:val="28"/>
              </w:rPr>
              <w:t>优化提升3处体育主题公园，</w:t>
            </w:r>
            <w:r>
              <w:rPr>
                <w:rFonts w:hint="eastAsia" w:ascii="仿宋" w:hAnsi="仿宋" w:eastAsia="仿宋" w:cs="仿宋"/>
                <w:bCs/>
                <w:sz w:val="28"/>
                <w:szCs w:val="28"/>
              </w:rPr>
              <w:t>打造群众身边的“十分钟健身圈”。</w:t>
            </w:r>
          </w:p>
        </w:tc>
        <w:tc>
          <w:tcPr>
            <w:tcW w:w="1376" w:type="dxa"/>
            <w:tcBorders>
              <w:top w:val="single" w:color="000000" w:sz="4" w:space="0"/>
              <w:left w:val="single" w:color="000000" w:sz="4" w:space="0"/>
              <w:bottom w:val="single" w:color="000000" w:sz="4" w:space="0"/>
              <w:right w:val="single" w:color="000000" w:sz="4" w:space="0"/>
            </w:tcBorders>
            <w:vAlign w:val="center"/>
          </w:tcPr>
          <w:p w14:paraId="24E9D270">
            <w:pPr>
              <w:widowControl/>
              <w:adjustRightInd w:val="0"/>
              <w:snapToGrid w:val="0"/>
              <w:spacing w:line="360" w:lineRule="exact"/>
              <w:jc w:val="center"/>
              <w:textAlignment w:val="center"/>
              <w:rPr>
                <w:rFonts w:ascii="仿宋" w:hAnsi="仿宋" w:eastAsia="仿宋" w:cs="仿宋"/>
                <w:kern w:val="0"/>
                <w:sz w:val="28"/>
                <w:szCs w:val="28"/>
              </w:rPr>
            </w:pPr>
            <w:r>
              <w:rPr>
                <w:rFonts w:hint="eastAsia" w:ascii="仿宋" w:hAnsi="仿宋" w:eastAsia="仿宋" w:cs="仿宋"/>
                <w:kern w:val="0"/>
                <w:sz w:val="28"/>
                <w:szCs w:val="28"/>
              </w:rPr>
              <w:t>区体育事业发展中心</w:t>
            </w:r>
          </w:p>
        </w:tc>
        <w:tc>
          <w:tcPr>
            <w:tcW w:w="5629" w:type="dxa"/>
            <w:tcBorders>
              <w:top w:val="single" w:color="000000" w:sz="4" w:space="0"/>
              <w:left w:val="single" w:color="000000" w:sz="4" w:space="0"/>
              <w:bottom w:val="single" w:color="000000" w:sz="4" w:space="0"/>
              <w:right w:val="single" w:color="000000" w:sz="4" w:space="0"/>
            </w:tcBorders>
            <w:vAlign w:val="center"/>
          </w:tcPr>
          <w:p w14:paraId="2C58A92C">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积极推进济南市森林公园、杨柳春风体育公园及齐州路体育主题公园的优化提升。截止目前，已完成济南市森林公园体育场地、健身步道、智能健身器材及康养健身器材等设施的提升改造工作。</w:t>
            </w:r>
          </w:p>
        </w:tc>
        <w:tc>
          <w:tcPr>
            <w:tcW w:w="5081" w:type="dxa"/>
            <w:tcBorders>
              <w:top w:val="single" w:color="000000" w:sz="4" w:space="0"/>
              <w:left w:val="single" w:color="000000" w:sz="4" w:space="0"/>
              <w:bottom w:val="single" w:color="000000" w:sz="4" w:space="0"/>
              <w:right w:val="single" w:color="000000" w:sz="4" w:space="0"/>
            </w:tcBorders>
            <w:vAlign w:val="center"/>
          </w:tcPr>
          <w:p w14:paraId="11CBAAE0">
            <w:pPr>
              <w:widowControl/>
              <w:adjustRightInd w:val="0"/>
              <w:snapToGrid w:val="0"/>
              <w:spacing w:line="360" w:lineRule="exact"/>
              <w:ind w:firstLine="560" w:firstLineChars="200"/>
              <w:textAlignment w:val="center"/>
              <w:rPr>
                <w:rFonts w:ascii="仿宋" w:hAnsi="仿宋" w:eastAsia="仿宋" w:cs="仿宋"/>
                <w:sz w:val="28"/>
                <w:szCs w:val="28"/>
              </w:rPr>
            </w:pPr>
            <w:r>
              <w:rPr>
                <w:rFonts w:hint="eastAsia" w:ascii="仿宋" w:hAnsi="仿宋" w:eastAsia="仿宋" w:cs="仿宋"/>
                <w:sz w:val="28"/>
                <w:szCs w:val="28"/>
              </w:rPr>
              <w:t>杨柳春风体育公园已完成规划设计和招标流程，目前正在施工建设，计划12月底完工；齐州路体育主题公园正在施工建设，计划年底前完成。</w:t>
            </w:r>
          </w:p>
        </w:tc>
      </w:tr>
    </w:tbl>
    <w:p w14:paraId="2626A3AD"/>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文星标宋">
    <w:altName w:val="微软雅黑"/>
    <w:panose1 w:val="02010609000101010101"/>
    <w:charset w:val="86"/>
    <w:family w:val="auto"/>
    <w:pitch w:val="default"/>
    <w:sig w:usb0="00000000" w:usb1="00000000" w:usb2="00000010" w:usb3="00000000" w:csb0="00040001" w:csb1="00000000"/>
  </w:font>
  <w:font w:name="文星仿宋">
    <w:altName w:val="仿宋"/>
    <w:panose1 w:val="02010609000101010101"/>
    <w:charset w:val="86"/>
    <w:family w:val="auto"/>
    <w:pitch w:val="default"/>
    <w:sig w:usb0="00000000" w:usb1="00000000" w:usb2="00000010"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175CF"/>
    <w:rsid w:val="001175CF"/>
    <w:rsid w:val="00456C1E"/>
    <w:rsid w:val="68E519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6"/>
    <w:semiHidden/>
    <w:unhideWhenUsed/>
    <w:uiPriority w:val="99"/>
    <w:pPr>
      <w:spacing w:after="120"/>
      <w:ind w:left="420" w:leftChars="200"/>
    </w:pPr>
  </w:style>
  <w:style w:type="paragraph" w:styleId="3">
    <w:name w:val="Body Text First Indent 2"/>
    <w:basedOn w:val="2"/>
    <w:link w:val="7"/>
    <w:autoRedefine/>
    <w:qFormat/>
    <w:uiPriority w:val="0"/>
    <w:pPr>
      <w:widowControl/>
      <w:spacing w:before="120" w:after="0" w:line="760" w:lineRule="exact"/>
      <w:ind w:left="1" w:leftChars="0" w:firstLine="420" w:firstLineChars="200"/>
      <w:jc w:val="left"/>
    </w:pPr>
    <w:rPr>
      <w:rFonts w:ascii="Times New Roman" w:hAnsi="Times New Roman" w:eastAsia="仿宋_GB2312"/>
      <w:kern w:val="0"/>
      <w:sz w:val="32"/>
      <w:szCs w:val="20"/>
    </w:rPr>
  </w:style>
  <w:style w:type="character" w:customStyle="1" w:styleId="6">
    <w:name w:val="正文文本缩进 Char"/>
    <w:basedOn w:val="5"/>
    <w:link w:val="2"/>
    <w:semiHidden/>
    <w:qFormat/>
    <w:uiPriority w:val="99"/>
    <w:rPr>
      <w:szCs w:val="24"/>
    </w:rPr>
  </w:style>
  <w:style w:type="character" w:customStyle="1" w:styleId="7">
    <w:name w:val="正文首行缩进 2 Char"/>
    <w:basedOn w:val="6"/>
    <w:link w:val="3"/>
    <w:uiPriority w:val="0"/>
    <w:rPr>
      <w:rFonts w:ascii="Times New Roman" w:hAnsi="Times New Roman" w:eastAsia="仿宋_GB2312"/>
      <w:kern w:val="0"/>
      <w:sz w:val="32"/>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8589</Words>
  <Characters>9103</Characters>
  <Lines>66</Lines>
  <Paragraphs>18</Paragraphs>
  <TotalTime>3</TotalTime>
  <ScaleCrop>false</ScaleCrop>
  <LinksUpToDate>false</LinksUpToDate>
  <CharactersWithSpaces>9108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2026-04-13T06:29:00Z</dcterms:created>
  <dc:creator>Administrator</dc:creator>
  <cp:lastModifiedBy>w</cp:lastModifiedBy>
  <dcterms:modified xsi:type="dcterms:W3CDTF">2026-08-04T06:26:19Z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eyJoZGlkIjoiNGY3MzkxZGM1NjY5MmE2OWJiMGNlYmE2ZTA2YWJlZGMiLCJ1c2VySWQiOiI3Njk1NDAyODkifQ==</vt:lpwstr>
  </property>
  <property fmtid="{D5CDD505-2E9C-101B-9397-08002B2CF9AE}" pid="3" name="KSOProductBuildVer">
    <vt:lpwstr>2052-12.1.0.26895</vt:lpwstr>
  </property>
  <property fmtid="{D5CDD505-2E9C-101B-9397-08002B2CF9AE}" pid="4" name="ICV">
    <vt:lpwstr>2320F1D47E304722807AA838A20D9197_12</vt:lpwstr>
  </property>
</Properties>
</file>