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6E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济南市槐荫区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应急管理局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年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月行政执法结果公示</w:t>
      </w:r>
    </w:p>
    <w:p w14:paraId="7947711B">
      <w:pPr>
        <w:spacing w:line="600" w:lineRule="exact"/>
        <w:jc w:val="center"/>
        <w:rPr>
          <w:rFonts w:hint="eastAsia" w:ascii="FZXiaoBiaoSong-B05S" w:hAnsi="FZXiaoBiaoSong-B05S" w:eastAsia="FZXiaoBiaoSong-B05S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截至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月</w:t>
      </w:r>
      <w:r>
        <w:rPr>
          <w:rFonts w:hint="default" w:ascii="方正小标宋_GBK" w:hAnsi="方正小标宋_GBK" w:eastAsia="方正小标宋_GBK" w:cs="方正小标宋_GBK"/>
          <w:sz w:val="48"/>
          <w:szCs w:val="48"/>
          <w:lang w:val="en-US" w:eastAsia="zh-CN"/>
        </w:rPr>
        <w:t>29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日）</w:t>
      </w:r>
    </w:p>
    <w:p w14:paraId="6641A160">
      <w:pPr>
        <w:spacing w:line="600" w:lineRule="exact"/>
        <w:jc w:val="center"/>
        <w:rPr>
          <w:rFonts w:hint="eastAsia" w:ascii="FZXiaoBiaoSong-B05S" w:hAnsi="FZXiaoBiaoSong-B05S" w:eastAsia="FZXiaoBiaoSong-B05S"/>
          <w:sz w:val="48"/>
          <w:szCs w:val="48"/>
        </w:rPr>
      </w:pPr>
    </w:p>
    <w:tbl>
      <w:tblPr>
        <w:tblStyle w:val="5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47"/>
        <w:gridCol w:w="1575"/>
        <w:gridCol w:w="3119"/>
        <w:gridCol w:w="2378"/>
        <w:gridCol w:w="1574"/>
        <w:gridCol w:w="1654"/>
        <w:gridCol w:w="2230"/>
      </w:tblGrid>
      <w:tr w14:paraId="73DC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8"/>
            <w:vAlign w:val="center"/>
          </w:tcPr>
          <w:p w14:paraId="168D2DBE">
            <w:pPr>
              <w:spacing w:line="360" w:lineRule="auto"/>
              <w:rPr>
                <w:rFonts w:hint="eastAsia" w:ascii="文星仿宋" w:hAnsi="文星仿宋" w:eastAsia="文星仿宋" w:cs="文星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执法机关：槐荫区应急管理局</w:t>
            </w:r>
          </w:p>
        </w:tc>
      </w:tr>
      <w:tr w14:paraId="275F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" w:type="pct"/>
            <w:vAlign w:val="center"/>
          </w:tcPr>
          <w:p w14:paraId="3690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547" w:type="pct"/>
            <w:vAlign w:val="center"/>
          </w:tcPr>
          <w:p w14:paraId="35C7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行政执法事项名称</w:t>
            </w:r>
          </w:p>
        </w:tc>
        <w:tc>
          <w:tcPr>
            <w:tcW w:w="523" w:type="pct"/>
            <w:vAlign w:val="center"/>
          </w:tcPr>
          <w:p w14:paraId="72C9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执法类别</w:t>
            </w:r>
          </w:p>
        </w:tc>
        <w:tc>
          <w:tcPr>
            <w:tcW w:w="1035" w:type="pct"/>
            <w:vAlign w:val="center"/>
          </w:tcPr>
          <w:p w14:paraId="73D1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行政执法决定书文号</w:t>
            </w:r>
          </w:p>
        </w:tc>
        <w:tc>
          <w:tcPr>
            <w:tcW w:w="789" w:type="pct"/>
            <w:vAlign w:val="center"/>
          </w:tcPr>
          <w:p w14:paraId="7A07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行政执法相对人名称</w:t>
            </w:r>
          </w:p>
        </w:tc>
        <w:tc>
          <w:tcPr>
            <w:tcW w:w="519" w:type="pct"/>
            <w:vAlign w:val="center"/>
          </w:tcPr>
          <w:p w14:paraId="761E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违法事实</w:t>
            </w:r>
          </w:p>
        </w:tc>
        <w:tc>
          <w:tcPr>
            <w:tcW w:w="549" w:type="pct"/>
            <w:vAlign w:val="center"/>
          </w:tcPr>
          <w:p w14:paraId="2BC9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执法依据</w:t>
            </w:r>
          </w:p>
        </w:tc>
        <w:tc>
          <w:tcPr>
            <w:tcW w:w="737" w:type="pct"/>
            <w:vAlign w:val="center"/>
          </w:tcPr>
          <w:p w14:paraId="4165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30"/>
                <w:szCs w:val="30"/>
                <w:lang w:val="en-US" w:eastAsia="zh-CN"/>
              </w:rPr>
              <w:t>执法日期</w:t>
            </w:r>
          </w:p>
        </w:tc>
      </w:tr>
      <w:tr w14:paraId="384F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" w:type="pct"/>
            <w:vAlign w:val="center"/>
          </w:tcPr>
          <w:p w14:paraId="67DEF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50D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ED0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E53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37010413202600017</w:t>
            </w:r>
          </w:p>
        </w:tc>
        <w:tc>
          <w:tcPr>
            <w:tcW w:w="789" w:type="pct"/>
            <w:vAlign w:val="center"/>
          </w:tcPr>
          <w:p w14:paraId="7C26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济南佳龙油漆有限公司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606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342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7" w:type="pct"/>
            <w:vAlign w:val="center"/>
          </w:tcPr>
          <w:p w14:paraId="1EC6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2026年4月8日</w:t>
            </w:r>
          </w:p>
        </w:tc>
      </w:tr>
      <w:tr w14:paraId="2575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51301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61F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E65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A6A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37010413202600018</w:t>
            </w:r>
          </w:p>
        </w:tc>
        <w:tc>
          <w:tcPr>
            <w:tcW w:w="789" w:type="pct"/>
            <w:vAlign w:val="center"/>
          </w:tcPr>
          <w:p w14:paraId="3B2D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济南吉祥石油化工有限公司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EDD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F8A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6B2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2026年4月15日</w:t>
            </w:r>
          </w:p>
        </w:tc>
      </w:tr>
      <w:tr w14:paraId="4556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4B1C5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41E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8CC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8C8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37010413202600019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E90A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中国石化销售股份有限公司山东济南第十一加油站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C86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CEC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2A4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2026年4月21日</w:t>
            </w:r>
          </w:p>
        </w:tc>
      </w:tr>
      <w:tr w14:paraId="3D5C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2244E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4BC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5D4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9B7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37010413202600020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B59E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中国石化销售股份有限公司山东济南第三十八加油站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88C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C35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C86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2026年4月21日</w:t>
            </w:r>
          </w:p>
        </w:tc>
      </w:tr>
      <w:tr w14:paraId="2B8C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0906D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4A3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危险化学品经营许可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A43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1437E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37010413202600021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0D9F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中国石化销售股份有限公司</w:t>
            </w:r>
          </w:p>
          <w:p w14:paraId="32350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山东济南第五十五加油站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0BB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302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《危险化学品经营许可证管理办法》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218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2026年4月23日</w:t>
            </w:r>
          </w:p>
        </w:tc>
      </w:tr>
      <w:tr w14:paraId="3249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11C47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7B5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执法检查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C69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行政执法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9A8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(鲁济槐)应急检记〔2026〕9号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4C3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济南弘阳商业管理有限公司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8EF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1.一楼南侧强电间配电箱缺少“当心触电”警示标志；2.配电箱门无跨接线；3.配电箱内裸露线头未包扎处理；4.配电箱空气开关相间灭弧板缺失。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81B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878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 年4月15日</w:t>
            </w:r>
          </w:p>
        </w:tc>
      </w:tr>
      <w:tr w14:paraId="18DF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301CF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A1D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执法检查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3F91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行政执法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776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(鲁济槐)应急检记〔2026〕10号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EF4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山东银座置业有限公司振兴街购物中心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1B7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1.应急预案需及时更新（主要负责人更换）；2.配电箱内排线采用缠绕方式连接；3.配电箱警示标识需及时更新，建议按照GB2894-2025进行更新；4.冷库内开装置未见操作标识。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AAC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335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2026年4月23日</w:t>
            </w:r>
          </w:p>
        </w:tc>
      </w:tr>
      <w:tr w14:paraId="5E99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98" w:type="pct"/>
            <w:shd w:val="clear" w:color="auto" w:fill="auto"/>
            <w:vAlign w:val="center"/>
          </w:tcPr>
          <w:p w14:paraId="633BC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E07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执法案件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988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行政处罚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CBC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(鲁济槐)应急立〔2026〕2号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5E4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济南康泺源商贸有限公司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8F5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未取得危险化学品安全生产许可证擅自生产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E57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310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2026年4月14日</w:t>
            </w:r>
          </w:p>
        </w:tc>
      </w:tr>
    </w:tbl>
    <w:p w14:paraId="4DCDCCD7">
      <w:r>
        <w:rPr>
          <w:rFonts w:hint="eastAsia"/>
          <w:lang w:val="en-US" w:eastAsia="zh-CN"/>
        </w:rPr>
        <w:t>注明：应急管理局本月行政强制、行政征收、行政给付、行政确认、行政裁决无执法行为。</w:t>
      </w:r>
    </w:p>
    <w:sectPr>
      <w:pgSz w:w="16838" w:h="11906" w:orient="landscape"/>
      <w:pgMar w:top="129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黑体">
    <w:altName w:val="方正黑体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WJkMTllMzM1N2U1Y2IyMWYxNzk4MTkzMmMwYzIifQ=="/>
  </w:docVars>
  <w:rsids>
    <w:rsidRoot w:val="361938C3"/>
    <w:rsid w:val="00710045"/>
    <w:rsid w:val="02826462"/>
    <w:rsid w:val="02F07896"/>
    <w:rsid w:val="03434FEB"/>
    <w:rsid w:val="037A39AC"/>
    <w:rsid w:val="03B82859"/>
    <w:rsid w:val="065715F7"/>
    <w:rsid w:val="07433F6D"/>
    <w:rsid w:val="0C3674E2"/>
    <w:rsid w:val="0EE364DF"/>
    <w:rsid w:val="0F613D22"/>
    <w:rsid w:val="125F6A30"/>
    <w:rsid w:val="12CF5DA5"/>
    <w:rsid w:val="136F30F1"/>
    <w:rsid w:val="139550D9"/>
    <w:rsid w:val="16E72DED"/>
    <w:rsid w:val="1D21173D"/>
    <w:rsid w:val="1F231C87"/>
    <w:rsid w:val="21F076A0"/>
    <w:rsid w:val="223F69CA"/>
    <w:rsid w:val="25F6748B"/>
    <w:rsid w:val="26D269ED"/>
    <w:rsid w:val="2A884520"/>
    <w:rsid w:val="2AF625D1"/>
    <w:rsid w:val="2DA84EB0"/>
    <w:rsid w:val="2EB951BD"/>
    <w:rsid w:val="2F960D2A"/>
    <w:rsid w:val="307C7B46"/>
    <w:rsid w:val="3527398C"/>
    <w:rsid w:val="35632BFD"/>
    <w:rsid w:val="361938C3"/>
    <w:rsid w:val="37A94C31"/>
    <w:rsid w:val="3C6F1992"/>
    <w:rsid w:val="3C9162C5"/>
    <w:rsid w:val="3DED3D29"/>
    <w:rsid w:val="3EB139C6"/>
    <w:rsid w:val="406C4F70"/>
    <w:rsid w:val="42536F39"/>
    <w:rsid w:val="438E0E13"/>
    <w:rsid w:val="43EE49CD"/>
    <w:rsid w:val="449E61C1"/>
    <w:rsid w:val="45A717CF"/>
    <w:rsid w:val="46622F25"/>
    <w:rsid w:val="491F0A3D"/>
    <w:rsid w:val="494E0382"/>
    <w:rsid w:val="4B95364A"/>
    <w:rsid w:val="4DC16B2E"/>
    <w:rsid w:val="4F9239A9"/>
    <w:rsid w:val="4FFD03D3"/>
    <w:rsid w:val="50E360A7"/>
    <w:rsid w:val="526320D2"/>
    <w:rsid w:val="52AB3601"/>
    <w:rsid w:val="5886052F"/>
    <w:rsid w:val="59086185"/>
    <w:rsid w:val="5A0F2A8E"/>
    <w:rsid w:val="5B933D29"/>
    <w:rsid w:val="5E9A0E7C"/>
    <w:rsid w:val="5F7D2411"/>
    <w:rsid w:val="61E716F8"/>
    <w:rsid w:val="623813DE"/>
    <w:rsid w:val="6349329D"/>
    <w:rsid w:val="63926DFE"/>
    <w:rsid w:val="661931B7"/>
    <w:rsid w:val="662E799C"/>
    <w:rsid w:val="6D6248C6"/>
    <w:rsid w:val="6EB36295"/>
    <w:rsid w:val="6FA470B5"/>
    <w:rsid w:val="70B3512A"/>
    <w:rsid w:val="730A75D1"/>
    <w:rsid w:val="73B3207A"/>
    <w:rsid w:val="75D12F3A"/>
    <w:rsid w:val="75E3547D"/>
    <w:rsid w:val="7F07428F"/>
    <w:rsid w:val="7F2B0B05"/>
    <w:rsid w:val="7F2E6871"/>
    <w:rsid w:val="957303EF"/>
    <w:rsid w:val="E0FE1AC6"/>
    <w:rsid w:val="F87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autoRedefine/>
    <w:semiHidden/>
    <w:qFormat/>
    <w:uiPriority w:val="0"/>
    <w:pPr>
      <w:widowControl w:val="0"/>
      <w:spacing w:line="240" w:lineRule="auto"/>
      <w:ind w:firstLine="420" w:firstLineChars="100"/>
      <w:textAlignment w:val="auto"/>
    </w:pPr>
    <w:rPr>
      <w:color w:val="auto"/>
      <w:kern w:val="2"/>
      <w:u w:val="none" w:color="auto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516</Characters>
  <Lines>0</Lines>
  <Paragraphs>0</Paragraphs>
  <TotalTime>6</TotalTime>
  <ScaleCrop>false</ScaleCrop>
  <LinksUpToDate>false</LinksUpToDate>
  <CharactersWithSpaces>516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2024-01-04T11:21:00Z</dcterms:created>
  <dc:creator>西西</dc:creator>
  <cp:lastModifiedBy>西西</cp:lastModifiedBy>
  <dcterms:modified xsi:type="dcterms:W3CDTF">2026-04-29T14:32:19Z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DED9F96F52B749EAA4FDB7149AB75969_13</vt:lpwstr>
  </property>
  <property fmtid="{D5CDD505-2E9C-101B-9397-08002B2CF9AE}" pid="4" name="KSOTemplateDocerSaveRecord">
    <vt:lpwstr>eyJoZGlkIjoiOTE4YWRmOGMyMGJjZTdiM2I4MWJlMzkxMWI0ZjQ3MDAiLCJ1c2VySWQiOiIzNDM3ODEyNzAifQ==</vt:lpwstr>
  </property>
</Properties>
</file>