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5CF" w:rsidRDefault="001175CF" w:rsidP="001175CF">
      <w:pPr>
        <w:spacing w:line="500" w:lineRule="exact"/>
        <w:jc w:val="center"/>
        <w:rPr>
          <w:rFonts w:ascii="文星标宋" w:eastAsia="文星标宋" w:hAnsi="文星标宋" w:cs="文星标宋"/>
          <w:color w:val="000000"/>
          <w:kern w:val="0"/>
          <w:sz w:val="44"/>
          <w:szCs w:val="44"/>
        </w:rPr>
      </w:pPr>
      <w:bookmarkStart w:id="0" w:name="OLE_LINK5"/>
      <w:bookmarkStart w:id="1" w:name="OLE_LINK6"/>
      <w:r>
        <w:rPr>
          <w:rFonts w:ascii="文星标宋" w:eastAsia="文星标宋" w:hAnsi="文星标宋" w:cs="文星标宋" w:hint="eastAsia"/>
          <w:color w:val="000000"/>
          <w:kern w:val="0"/>
          <w:sz w:val="44"/>
          <w:szCs w:val="44"/>
        </w:rPr>
        <w:t>2025年政府工作报告确定的重点任务推进情况（前三季度）</w:t>
      </w:r>
    </w:p>
    <w:bookmarkEnd w:id="0"/>
    <w:bookmarkEnd w:id="1"/>
    <w:p w:rsidR="001175CF" w:rsidRDefault="001175CF" w:rsidP="001175CF">
      <w:pPr>
        <w:pStyle w:val="2"/>
        <w:spacing w:line="400" w:lineRule="exact"/>
        <w:ind w:left="0" w:firstLine="640"/>
      </w:pPr>
    </w:p>
    <w:tbl>
      <w:tblPr>
        <w:tblpPr w:leftFromText="180" w:rightFromText="180" w:vertAnchor="text" w:horzAnchor="page" w:tblpXSpec="center" w:tblpY="51"/>
        <w:tblOverlap w:val="never"/>
        <w:tblW w:w="15745" w:type="dxa"/>
        <w:jc w:val="center"/>
        <w:tblLayout w:type="fixed"/>
        <w:tblLook w:val="04A0"/>
      </w:tblPr>
      <w:tblGrid>
        <w:gridCol w:w="836"/>
        <w:gridCol w:w="683"/>
        <w:gridCol w:w="2140"/>
        <w:gridCol w:w="1376"/>
        <w:gridCol w:w="5629"/>
        <w:gridCol w:w="5081"/>
      </w:tblGrid>
      <w:tr w:rsidR="001175CF" w:rsidTr="00412CE6">
        <w:trPr>
          <w:cantSplit/>
          <w:trHeight w:val="680"/>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175CF" w:rsidRDefault="001175CF" w:rsidP="00412CE6">
            <w:pPr>
              <w:spacing w:line="340" w:lineRule="exact"/>
              <w:jc w:val="center"/>
              <w:rPr>
                <w:rFonts w:ascii="文星仿宋" w:eastAsia="文星仿宋" w:hAnsi="文星仿宋" w:cs="文星仿宋"/>
                <w:b/>
                <w:bCs/>
                <w:sz w:val="28"/>
                <w:szCs w:val="28"/>
              </w:rPr>
            </w:pPr>
            <w:r>
              <w:rPr>
                <w:rFonts w:ascii="文星仿宋" w:eastAsia="文星仿宋" w:hAnsi="文星仿宋" w:cs="文星仿宋" w:hint="eastAsia"/>
                <w:b/>
                <w:bCs/>
                <w:sz w:val="28"/>
                <w:szCs w:val="28"/>
              </w:rPr>
              <w:t>序号</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175CF" w:rsidRDefault="001175CF" w:rsidP="00412CE6">
            <w:pPr>
              <w:spacing w:line="340" w:lineRule="exact"/>
              <w:jc w:val="center"/>
              <w:rPr>
                <w:rFonts w:ascii="文星仿宋" w:eastAsia="文星仿宋" w:hAnsi="文星仿宋" w:cs="文星仿宋"/>
                <w:b/>
                <w:bCs/>
                <w:sz w:val="28"/>
                <w:szCs w:val="28"/>
              </w:rPr>
            </w:pPr>
            <w:r>
              <w:rPr>
                <w:rFonts w:ascii="文星仿宋" w:eastAsia="文星仿宋" w:hAnsi="文星仿宋" w:cs="文星仿宋" w:hint="eastAsia"/>
                <w:b/>
                <w:bCs/>
                <w:sz w:val="28"/>
                <w:szCs w:val="28"/>
              </w:rPr>
              <w:t>主要任务</w:t>
            </w:r>
          </w:p>
        </w:tc>
        <w:tc>
          <w:tcPr>
            <w:tcW w:w="1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175CF" w:rsidRDefault="001175CF" w:rsidP="00412CE6">
            <w:pPr>
              <w:spacing w:line="340" w:lineRule="exact"/>
              <w:jc w:val="center"/>
              <w:rPr>
                <w:rFonts w:ascii="文星仿宋" w:eastAsia="文星仿宋" w:hAnsi="文星仿宋" w:cs="文星仿宋"/>
                <w:b/>
                <w:bCs/>
                <w:sz w:val="28"/>
                <w:szCs w:val="28"/>
              </w:rPr>
            </w:pPr>
            <w:r>
              <w:rPr>
                <w:rFonts w:ascii="文星仿宋" w:eastAsia="文星仿宋" w:hAnsi="文星仿宋" w:cs="文星仿宋" w:hint="eastAsia"/>
                <w:b/>
                <w:bCs/>
                <w:sz w:val="28"/>
                <w:szCs w:val="28"/>
              </w:rPr>
              <w:t>责任单位</w:t>
            </w:r>
          </w:p>
        </w:tc>
        <w:tc>
          <w:tcPr>
            <w:tcW w:w="56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175CF" w:rsidRDefault="001175CF" w:rsidP="00412CE6">
            <w:pPr>
              <w:spacing w:line="340" w:lineRule="exact"/>
              <w:jc w:val="center"/>
              <w:rPr>
                <w:rFonts w:ascii="文星仿宋" w:eastAsia="文星仿宋" w:hAnsi="文星仿宋" w:cs="文星仿宋"/>
                <w:b/>
                <w:bCs/>
                <w:sz w:val="28"/>
                <w:szCs w:val="28"/>
              </w:rPr>
            </w:pPr>
            <w:r>
              <w:rPr>
                <w:rFonts w:ascii="文星仿宋" w:eastAsia="文星仿宋" w:hAnsi="文星仿宋" w:cs="文星仿宋" w:hint="eastAsia"/>
                <w:b/>
                <w:bCs/>
                <w:sz w:val="28"/>
                <w:szCs w:val="28"/>
              </w:rPr>
              <w:t>推进情况</w:t>
            </w:r>
          </w:p>
        </w:tc>
        <w:tc>
          <w:tcPr>
            <w:tcW w:w="5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175CF" w:rsidRDefault="001175CF" w:rsidP="00412CE6">
            <w:pPr>
              <w:spacing w:line="340" w:lineRule="exact"/>
              <w:jc w:val="center"/>
              <w:rPr>
                <w:rFonts w:ascii="文星仿宋" w:eastAsia="文星仿宋" w:hAnsi="文星仿宋" w:cs="文星仿宋"/>
                <w:b/>
                <w:bCs/>
                <w:sz w:val="28"/>
                <w:szCs w:val="28"/>
              </w:rPr>
            </w:pPr>
            <w:r>
              <w:rPr>
                <w:rFonts w:ascii="文星仿宋" w:eastAsia="文星仿宋" w:hAnsi="文星仿宋" w:cs="文星仿宋" w:hint="eastAsia"/>
                <w:b/>
                <w:bCs/>
                <w:sz w:val="28"/>
                <w:szCs w:val="28"/>
              </w:rPr>
              <w:t>后续举措</w:t>
            </w:r>
          </w:p>
        </w:tc>
      </w:tr>
      <w:tr w:rsidR="001175CF" w:rsidTr="00412CE6">
        <w:trPr>
          <w:cantSplit/>
          <w:trHeight w:val="185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1</w:t>
            </w:r>
          </w:p>
        </w:tc>
        <w:tc>
          <w:tcPr>
            <w:tcW w:w="2823" w:type="dxa"/>
            <w:gridSpan w:val="2"/>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textAlignment w:val="center"/>
              <w:rPr>
                <w:rFonts w:ascii="仿宋" w:eastAsia="仿宋" w:hAnsi="仿宋" w:cs="仿宋"/>
                <w:kern w:val="0"/>
                <w:sz w:val="28"/>
                <w:szCs w:val="28"/>
              </w:rPr>
            </w:pPr>
            <w:r>
              <w:rPr>
                <w:rFonts w:ascii="仿宋" w:eastAsia="仿宋" w:hAnsi="仿宋" w:cs="仿宋" w:hint="eastAsia"/>
                <w:sz w:val="28"/>
                <w:szCs w:val="28"/>
              </w:rPr>
              <w:t>地区生产总值增长5.7%。</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区发展改革局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1-9月份，完成地区生产总值（GDP）665.4亿元，同比增长5.4%，增速较上半年回落0.3个百分点，高于全国0.2个百分点，低于全省0.2个百分点，与全市持平，列全市第六位，第二考核单元第二位。GDP连续四个季度保持5.0%以上增速，连续三个季度位居全市6名以上。</w:t>
            </w:r>
            <w:r>
              <w:rPr>
                <w:rFonts w:ascii="仿宋" w:eastAsia="仿宋" w:hAnsi="仿宋" w:cs="仿宋" w:hint="eastAsia"/>
                <w:sz w:val="28"/>
                <w:szCs w:val="28"/>
              </w:rPr>
              <w:tab/>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一是加快构建“433”产业体系，以龙头产业为引领，着力打造特色产业，加快谋划未来产业。二是做好经济运行分析研判工作，紧盯波动较大指标走势，联系各经济部门靠上服务企业，。</w:t>
            </w:r>
          </w:p>
        </w:tc>
      </w:tr>
      <w:tr w:rsidR="001175CF" w:rsidTr="00412CE6">
        <w:trPr>
          <w:cantSplit/>
          <w:trHeight w:val="311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2</w:t>
            </w:r>
          </w:p>
        </w:tc>
        <w:tc>
          <w:tcPr>
            <w:tcW w:w="2823" w:type="dxa"/>
            <w:gridSpan w:val="2"/>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textAlignment w:val="center"/>
              <w:rPr>
                <w:rFonts w:ascii="仿宋" w:eastAsia="仿宋" w:hAnsi="仿宋" w:cs="仿宋"/>
                <w:kern w:val="0"/>
                <w:sz w:val="28"/>
                <w:szCs w:val="28"/>
              </w:rPr>
            </w:pPr>
            <w:r>
              <w:rPr>
                <w:rFonts w:ascii="仿宋" w:eastAsia="仿宋" w:hAnsi="仿宋" w:cs="仿宋" w:hint="eastAsia"/>
                <w:sz w:val="28"/>
                <w:szCs w:val="28"/>
              </w:rPr>
              <w:t>一般公共预算收入增长3%。</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区财政局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1-9月份，全区一般公共预算收入累计完成432,066万元，同比增长0.87%。其中：税收收入完成371,818万元，税收收入同比增长5.13%，非税收入完成60,248万元，税收比重为86.06%。从全市范围看（含起步区），收入规模我区位列第6位，收入增幅我区位列第6位，税收收入增幅我区位列第7位，税收比重我区位列第5位。</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下一步，区财政局将进一步强化收入组织协调，充分对接税务部门、城投集团和区直有关部门单位，强化税收分析研判，持续紧盯重大涉税问题、认真落实市级反馈涉税线索，发挥好财税、城投“三驾马车”共促收入作用，确保依法征收、应收尽收。</w:t>
            </w:r>
          </w:p>
        </w:tc>
      </w:tr>
      <w:tr w:rsidR="001175CF" w:rsidTr="00412CE6">
        <w:trPr>
          <w:cantSplit/>
          <w:trHeight w:val="168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lastRenderedPageBreak/>
              <w:t>3</w:t>
            </w:r>
          </w:p>
        </w:tc>
        <w:tc>
          <w:tcPr>
            <w:tcW w:w="2823" w:type="dxa"/>
            <w:gridSpan w:val="2"/>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规上工业增加值增长8%。</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区工业和信息化局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预计1-9月份规上工业增加值增长13%左右。</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紧抓指标调度完成情况，强化重点企业运行监测服务。推进工业入库纳统，跟进对拟入库企业的培育指导。持续走访优化对企业的服务，为企业发展赋能。</w:t>
            </w:r>
          </w:p>
        </w:tc>
      </w:tr>
      <w:tr w:rsidR="001175CF" w:rsidTr="00412CE6">
        <w:trPr>
          <w:cantSplit/>
          <w:trHeight w:val="869"/>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4</w:t>
            </w:r>
          </w:p>
        </w:tc>
        <w:tc>
          <w:tcPr>
            <w:tcW w:w="2823" w:type="dxa"/>
            <w:gridSpan w:val="2"/>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textAlignment w:val="center"/>
              <w:rPr>
                <w:rFonts w:ascii="仿宋" w:eastAsia="仿宋" w:hAnsi="仿宋" w:cs="仿宋"/>
                <w:kern w:val="0"/>
                <w:sz w:val="28"/>
                <w:szCs w:val="28"/>
              </w:rPr>
            </w:pPr>
            <w:r>
              <w:rPr>
                <w:rFonts w:ascii="仿宋" w:eastAsia="仿宋" w:hAnsi="仿宋" w:cs="仿宋" w:hint="eastAsia"/>
                <w:sz w:val="28"/>
                <w:szCs w:val="28"/>
              </w:rPr>
              <w:t>固定资产投资增长5%。</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区发展改革局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1-9月份固定资产投资预计完成279.4亿元，增幅-3.5%。</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加强项目摸排，全面摸排在库项目，深入挖掘项目潜力。持续强化投资入统入库工作，确保应报尽报。</w:t>
            </w:r>
          </w:p>
        </w:tc>
      </w:tr>
      <w:tr w:rsidR="001175CF" w:rsidTr="00412CE6">
        <w:trPr>
          <w:cantSplit/>
          <w:trHeight w:val="152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5</w:t>
            </w:r>
          </w:p>
        </w:tc>
        <w:tc>
          <w:tcPr>
            <w:tcW w:w="2823" w:type="dxa"/>
            <w:gridSpan w:val="2"/>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textAlignment w:val="center"/>
              <w:rPr>
                <w:rFonts w:ascii="仿宋" w:eastAsia="仿宋" w:hAnsi="仿宋" w:cs="仿宋"/>
                <w:kern w:val="0"/>
                <w:sz w:val="28"/>
                <w:szCs w:val="28"/>
              </w:rPr>
            </w:pPr>
            <w:r>
              <w:rPr>
                <w:rFonts w:ascii="仿宋" w:eastAsia="仿宋" w:hAnsi="仿宋" w:cs="仿宋" w:hint="eastAsia"/>
                <w:sz w:val="28"/>
                <w:szCs w:val="28"/>
              </w:rPr>
              <w:t>社会消费品零售总额增长3.5%。</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区商务局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预计1-9月份完成626.7亿元，同比增长1%。</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spacing w:line="360" w:lineRule="exact"/>
              <w:ind w:firstLine="482"/>
              <w:rPr>
                <w:rFonts w:ascii="仿宋" w:eastAsia="仿宋" w:hAnsi="仿宋" w:cs="仿宋"/>
                <w:sz w:val="28"/>
                <w:szCs w:val="28"/>
              </w:rPr>
            </w:pPr>
            <w:r>
              <w:rPr>
                <w:rFonts w:ascii="仿宋" w:eastAsia="仿宋" w:hAnsi="仿宋" w:cs="仿宋" w:hint="eastAsia"/>
                <w:sz w:val="28"/>
                <w:szCs w:val="28"/>
              </w:rPr>
              <w:t>持续强化大宗消费。用好当前市级汽车消费补贴、“泉城购”消费券活动，组织主要商圈商场开展“泉”在济南享金秋专题活动。</w:t>
            </w:r>
          </w:p>
        </w:tc>
      </w:tr>
      <w:tr w:rsidR="001175CF" w:rsidTr="00412CE6">
        <w:trPr>
          <w:cantSplit/>
          <w:trHeight w:val="267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6</w:t>
            </w:r>
          </w:p>
        </w:tc>
        <w:tc>
          <w:tcPr>
            <w:tcW w:w="2823" w:type="dxa"/>
            <w:gridSpan w:val="2"/>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textAlignment w:val="center"/>
              <w:rPr>
                <w:rFonts w:ascii="仿宋" w:eastAsia="仿宋" w:hAnsi="仿宋" w:cs="仿宋"/>
                <w:kern w:val="0"/>
                <w:sz w:val="28"/>
                <w:szCs w:val="28"/>
              </w:rPr>
            </w:pPr>
            <w:r>
              <w:rPr>
                <w:rFonts w:ascii="仿宋" w:eastAsia="仿宋" w:hAnsi="仿宋" w:cs="仿宋" w:hint="eastAsia"/>
                <w:sz w:val="28"/>
                <w:szCs w:val="28"/>
              </w:rPr>
              <w:t>实际使用外资4500万美元。</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区投资促进局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1-9月份，我区实际使用外资指标完成1779万美元，占全年4500万美元任务的39.53%。</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一是狠抓合同外资转化。持续对接投资方，加快阿瑞尼塔等项目到资。二是拓展平台招商成果。借助儒商大会等高端平台，高标准策划招商推介活动，力争取得新的招商成果。三是优化外商投资环境。对重点外资项目实行“一对一”服务，做优促进外资增长的软环境。</w:t>
            </w:r>
          </w:p>
        </w:tc>
      </w:tr>
      <w:tr w:rsidR="001175CF" w:rsidTr="00412CE6">
        <w:trPr>
          <w:cantSplit/>
          <w:trHeight w:val="194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lastRenderedPageBreak/>
              <w:t>7</w:t>
            </w:r>
          </w:p>
        </w:tc>
        <w:tc>
          <w:tcPr>
            <w:tcW w:w="2823" w:type="dxa"/>
            <w:gridSpan w:val="2"/>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textAlignment w:val="center"/>
              <w:rPr>
                <w:rFonts w:ascii="仿宋" w:eastAsia="仿宋" w:hAnsi="仿宋" w:cs="仿宋"/>
                <w:kern w:val="0"/>
                <w:sz w:val="28"/>
                <w:szCs w:val="28"/>
              </w:rPr>
            </w:pPr>
            <w:r>
              <w:rPr>
                <w:rFonts w:ascii="仿宋" w:eastAsia="仿宋" w:hAnsi="仿宋" w:cs="仿宋" w:hint="eastAsia"/>
                <w:sz w:val="28"/>
                <w:szCs w:val="28"/>
              </w:rPr>
              <w:t>新增城镇就业1.95万人。</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区人力资源和社会保障局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1-9月份，新增城镇就业21284人，任务完成率109.15%。</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继续加强就业、失业数据监测，压实工作责任，严格统计口径，加强部门对接，及时督促各街道开展城镇新增就业、失业转就业等就业信息录入，确保年底超额完成年度城镇新增就业指标。</w:t>
            </w:r>
          </w:p>
        </w:tc>
      </w:tr>
      <w:tr w:rsidR="001175CF" w:rsidTr="00412CE6">
        <w:trPr>
          <w:cantSplit/>
          <w:trHeight w:val="229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kern w:val="0"/>
                <w:sz w:val="28"/>
                <w:szCs w:val="28"/>
              </w:rPr>
              <w:t>8</w:t>
            </w:r>
          </w:p>
        </w:tc>
        <w:tc>
          <w:tcPr>
            <w:tcW w:w="683" w:type="dxa"/>
            <w:vMerge w:val="restart"/>
            <w:tcBorders>
              <w:top w:val="single" w:sz="4" w:space="0" w:color="000000"/>
              <w:left w:val="single" w:sz="4" w:space="0" w:color="000000"/>
              <w:right w:val="single" w:sz="4" w:space="0" w:color="000000"/>
            </w:tcBorders>
            <w:vAlign w:val="center"/>
          </w:tcPr>
          <w:p w:rsidR="001175CF" w:rsidRDefault="001175CF" w:rsidP="00412CE6">
            <w:pPr>
              <w:widowControl/>
              <w:adjustRightInd w:val="0"/>
              <w:snapToGrid w:val="0"/>
              <w:spacing w:line="360" w:lineRule="exact"/>
              <w:jc w:val="left"/>
              <w:rPr>
                <w:rFonts w:ascii="仿宋" w:eastAsia="仿宋" w:hAnsi="仿宋" w:cs="仿宋"/>
                <w:sz w:val="28"/>
                <w:szCs w:val="28"/>
              </w:rPr>
            </w:pPr>
            <w:r>
              <w:rPr>
                <w:rFonts w:ascii="仿宋" w:eastAsia="仿宋" w:hAnsi="仿宋" w:cs="仿宋" w:hint="eastAsia"/>
                <w:sz w:val="28"/>
                <w:szCs w:val="28"/>
              </w:rPr>
              <w:t>扩大有效投资</w:t>
            </w:r>
          </w:p>
        </w:tc>
        <w:tc>
          <w:tcPr>
            <w:tcW w:w="2140"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新谋划储备优质项目不少于100个</w:t>
            </w:r>
            <w:r>
              <w:rPr>
                <w:rFonts w:ascii="仿宋" w:eastAsia="仿宋" w:hAnsi="仿宋" w:cs="仿宋" w:hint="eastAsia"/>
                <w:kern w:val="0"/>
                <w:sz w:val="28"/>
                <w:szCs w:val="28"/>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区发展改革局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1-9月份，共谋划项目172个，总投资1001.27亿元，其中重点产业类121个，总投资701.20亿元，社会民生类26个，总投资88.75亿元，基础设施类项目16个，总投资13.82亿元；平台支撑类项目9个，总投资197.50亿元。</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强化精准谋划，提升项目储备质量。重点围绕总投资500万元以上、一年内可纳统的实体项目，推动谋划工作从“概念文本”向“实施蓝图”转变。</w:t>
            </w:r>
          </w:p>
        </w:tc>
      </w:tr>
      <w:tr w:rsidR="001175CF" w:rsidTr="00412CE6">
        <w:trPr>
          <w:cantSplit/>
          <w:trHeight w:val="6618"/>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lastRenderedPageBreak/>
              <w:t>9</w:t>
            </w:r>
          </w:p>
        </w:tc>
        <w:tc>
          <w:tcPr>
            <w:tcW w:w="683" w:type="dxa"/>
            <w:vMerge/>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textAlignment w:val="center"/>
              <w:rPr>
                <w:rFonts w:ascii="仿宋" w:eastAsia="仿宋" w:hAnsi="仿宋" w:cs="仿宋"/>
                <w:kern w:val="0"/>
                <w:sz w:val="28"/>
                <w:szCs w:val="28"/>
              </w:rPr>
            </w:pPr>
            <w:r>
              <w:rPr>
                <w:rFonts w:ascii="仿宋" w:eastAsia="仿宋" w:hAnsi="仿宋" w:cs="仿宋" w:hint="eastAsia"/>
                <w:sz w:val="28"/>
                <w:szCs w:val="28"/>
              </w:rPr>
              <w:t>争取政策性资金额度50亿元以上。</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区财政局</w:t>
            </w:r>
          </w:p>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p>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区发展改革局</w:t>
            </w:r>
          </w:p>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p>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区城投集团</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1-9月份，过审中央预算内资金项目1个（智能厨房家电供应链转型）总投资6800万元，获批资金720万元；政府专项债项目20个，总投资364.83亿元，获批资金额度18.19亿元；过审二机床创新能力项目等超长期特别国债项目2个，总投资4895万元，获批资金975万元；过审政府专项债项目8个，2025年获得额度13.39亿元，已发行7.45亿元，已到位约6亿元；已申报第二批政策性金融工具项目2个（市立五院智慧停车场、全民健身中心），申报资金约1.33亿元。国家开发银行：吴家堡三村整合城中村改造项目已于2024年取得专项借款批复额度32亿元，2025年发放11.838亿元，累计发放24.198亿元。中国农业发展银行：安置六区项目取得专项借款批复额度20.66亿元，2025年累计发放19.57亿元。截至目前，既有授信20.66亿元已全部发放完毕。</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已新策划包装济南国际医学中心养老服务能力提升项目和济南国际医学中心科创片区现代物流产业园基础设施建设项目，已完成立项并申报第三批政府专项债。正在包装策划济南国际医学中心医疗硅谷片区排水防涝能力提升建设项目，计划申报政府专项债及超长期特别国债。根据项目安置房建设阶段实际工程进度，进行剩余7.802亿元专项借款资金的申请及拨付工作。</w:t>
            </w:r>
          </w:p>
        </w:tc>
      </w:tr>
      <w:tr w:rsidR="001175CF" w:rsidTr="00412CE6">
        <w:trPr>
          <w:cantSplit/>
          <w:trHeight w:val="4746"/>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lastRenderedPageBreak/>
              <w:t>10</w:t>
            </w:r>
          </w:p>
        </w:tc>
        <w:tc>
          <w:tcPr>
            <w:tcW w:w="683" w:type="dxa"/>
            <w:vMerge/>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textAlignment w:val="center"/>
              <w:rPr>
                <w:rFonts w:ascii="仿宋" w:eastAsia="仿宋" w:hAnsi="仿宋" w:cs="仿宋"/>
                <w:kern w:val="0"/>
                <w:sz w:val="28"/>
                <w:szCs w:val="28"/>
              </w:rPr>
            </w:pPr>
            <w:r>
              <w:rPr>
                <w:rFonts w:ascii="仿宋" w:eastAsia="仿宋" w:hAnsi="仿宋" w:cs="仿宋" w:hint="eastAsia"/>
                <w:sz w:val="28"/>
                <w:szCs w:val="28"/>
              </w:rPr>
              <w:t>签约过亿元项目30个以上。</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济南槐荫经济开发区管委会</w:t>
            </w:r>
          </w:p>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p>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济南西站枢纽经济商务区</w:t>
            </w:r>
          </w:p>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p>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区投资促进局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1-9月份，全区共签约落地山东省肿瘤防治研究院技术创新与临床转换工程、博墨热能济南总部、迈瑞医疗济南合作项目等过亿元市级招商引资项目24个。</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一是加强项目谋划策划。结合全市“13+34”产业链体系和新质生产力发展方向，配合各产业专班，加强对产业招商的高起点、高标准谋划。二是着力提升到资实效。进一步加强注册类项目招引质效，加快推动项目实际到资，及时发挥招引项目经济效益和社会效益。三是加强基金招引模式。积极开展各类对接洽谈活动，为基金提供项目、资源信息对接服务，以“基金+股权+项目”机制助推优质项目落地。</w:t>
            </w:r>
          </w:p>
        </w:tc>
      </w:tr>
      <w:tr w:rsidR="001175CF" w:rsidTr="00412CE6">
        <w:trPr>
          <w:cantSplit/>
          <w:trHeight w:val="346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11</w:t>
            </w:r>
          </w:p>
        </w:tc>
        <w:tc>
          <w:tcPr>
            <w:tcW w:w="683" w:type="dxa"/>
            <w:vMerge/>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textAlignment w:val="center"/>
              <w:rPr>
                <w:rFonts w:ascii="仿宋" w:eastAsia="仿宋" w:hAnsi="仿宋" w:cs="仿宋"/>
                <w:kern w:val="0"/>
                <w:sz w:val="28"/>
                <w:szCs w:val="28"/>
              </w:rPr>
            </w:pPr>
            <w:r>
              <w:rPr>
                <w:rFonts w:ascii="仿宋" w:eastAsia="仿宋" w:hAnsi="仿宋" w:cs="仿宋" w:hint="eastAsia"/>
                <w:sz w:val="28"/>
                <w:szCs w:val="28"/>
              </w:rPr>
              <w:t>统筹推进总投资3017亿元的216个重点项目（续建项目建设114个；新建项目52个，储备项目50个）。</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lang w:val="zh-CN"/>
              </w:rPr>
            </w:pPr>
            <w:r>
              <w:rPr>
                <w:rFonts w:ascii="仿宋" w:eastAsia="仿宋" w:hAnsi="仿宋" w:cs="仿宋" w:hint="eastAsia"/>
                <w:kern w:val="0"/>
                <w:sz w:val="28"/>
                <w:szCs w:val="28"/>
              </w:rPr>
              <w:t>区发展改革局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216个重点项目</w:t>
            </w:r>
            <w:bookmarkStart w:id="2" w:name="_GoBack"/>
            <w:bookmarkEnd w:id="2"/>
            <w:r>
              <w:rPr>
                <w:rFonts w:ascii="仿宋" w:eastAsia="仿宋" w:hAnsi="仿宋" w:cs="仿宋" w:hint="eastAsia"/>
                <w:sz w:val="28"/>
                <w:szCs w:val="28"/>
              </w:rPr>
              <w:t>年度计划投资174.89亿元，1-9月份完成投资162.35亿元，投资完成率92.82%。新建开工项目19个，其中槐荫区全民健身中心建设项目、腊山河西路道路建设工程、槐荫数控设备产业园等10个项目已入库纳统。</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一是紧盯落后时序进度项目，研究问题解决路径和办结时限，推动问题尽快解决。二是做好入库辅导工作，指导项目单位归集各类纳统凭证，帮助梳理入库纳统材料，高质量完成投资报送工作。</w:t>
            </w:r>
          </w:p>
        </w:tc>
      </w:tr>
      <w:tr w:rsidR="001175CF" w:rsidTr="00412CE6">
        <w:trPr>
          <w:cantSplit/>
          <w:trHeight w:val="182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kern w:val="0"/>
                <w:sz w:val="28"/>
                <w:szCs w:val="28"/>
              </w:rPr>
              <w:lastRenderedPageBreak/>
              <w:t>12</w:t>
            </w:r>
          </w:p>
        </w:tc>
        <w:tc>
          <w:tcPr>
            <w:tcW w:w="683" w:type="dxa"/>
            <w:vMerge w:val="restart"/>
            <w:tcBorders>
              <w:top w:val="single" w:sz="4" w:space="0" w:color="000000"/>
              <w:left w:val="single" w:sz="4" w:space="0" w:color="000000"/>
              <w:right w:val="single" w:sz="4" w:space="0" w:color="000000"/>
            </w:tcBorders>
            <w:vAlign w:val="center"/>
          </w:tcPr>
          <w:p w:rsidR="001175CF" w:rsidRDefault="001175CF" w:rsidP="00412CE6">
            <w:pPr>
              <w:widowControl/>
              <w:adjustRightInd w:val="0"/>
              <w:snapToGrid w:val="0"/>
              <w:spacing w:line="360" w:lineRule="exact"/>
              <w:jc w:val="left"/>
              <w:textAlignment w:val="center"/>
              <w:rPr>
                <w:rFonts w:ascii="仿宋" w:eastAsia="仿宋" w:hAnsi="仿宋" w:cs="仿宋"/>
                <w:sz w:val="28"/>
                <w:szCs w:val="28"/>
              </w:rPr>
            </w:pPr>
            <w:r>
              <w:rPr>
                <w:rFonts w:ascii="仿宋" w:eastAsia="仿宋" w:hAnsi="仿宋" w:cs="仿宋" w:hint="eastAsia"/>
                <w:sz w:val="28"/>
                <w:szCs w:val="28"/>
              </w:rPr>
              <w:t>提振消费市场</w:t>
            </w: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持续打造“经十西路汽车产业带”，新引入优质汽车品牌5家以上。</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区商务局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1-9月份，济南比亚迪方程豹销售中心、极氪家新能源4S店、大友奇瑞捷途纵横汽车4S店、大友尚友4S店已营业。</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持续落实好、用好2025年各级汽车以旧换新政策，盯紧当前在手的方程豹、极氪家、奇瑞捷途等汽车4S店项目，争取为我区汽车消费工作再创增量。</w:t>
            </w:r>
          </w:p>
        </w:tc>
      </w:tr>
      <w:tr w:rsidR="001175CF" w:rsidTr="00412CE6">
        <w:trPr>
          <w:cantSplit/>
          <w:trHeight w:val="4108"/>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kern w:val="0"/>
                <w:sz w:val="28"/>
                <w:szCs w:val="28"/>
              </w:rPr>
              <w:t>13</w:t>
            </w:r>
          </w:p>
        </w:tc>
        <w:tc>
          <w:tcPr>
            <w:tcW w:w="683" w:type="dxa"/>
            <w:vMerge/>
            <w:tcBorders>
              <w:left w:val="single" w:sz="4" w:space="0" w:color="000000"/>
              <w:right w:val="single" w:sz="4" w:space="0" w:color="000000"/>
            </w:tcBorders>
            <w:vAlign w:val="center"/>
          </w:tcPr>
          <w:p w:rsidR="001175CF" w:rsidRDefault="001175CF" w:rsidP="00412CE6">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服务保障亚洲餐饮展、中国茶叶博览会等重点展会以及中国国际儿童电影展、2025音乐剧盛典等演艺活动，加快推进商文旅展“流量型”消费融合发展。</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区商务局</w:t>
            </w:r>
          </w:p>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p>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区文化和旅游局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1-9月份，山东国际会展中心成功举办了2025第三届亚洲餐饮展、中国·济南高层次人才招引大会、首届医学人工智能大会、2025齐鲁国际车展、中华老字号博览会等展会活动近70场，展览面积超100万平方米，参展企业近1.4万家，接待客流量超200万人次。指导保利构建“观剧+酒店+景点”消费链延展演艺消费链条，前三季度举办演出及艺术活动410场，接待20.4万人次，营业收入近1500万元。10月15日，中国国际儿童电影展顺利开幕。</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按目前现有排期计划，重点做好四季度中华医学会学术会议等重点展会活动服务保障工作，保障展会安全顺利召开。继续推动“文旅+商业”融合，联动龙湖天街、奥莱二期等重点商业载体开展联合营销，通过资源互通、活动联动进一步拓展文旅消费空间。围绕中央文化区、百年商埠风貌区等核心区域，构建新型网红体验街区、特色消费场域。</w:t>
            </w:r>
          </w:p>
        </w:tc>
      </w:tr>
      <w:tr w:rsidR="001175CF" w:rsidTr="00412CE6">
        <w:trPr>
          <w:cantSplit/>
          <w:trHeight w:val="3028"/>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lastRenderedPageBreak/>
              <w:t>14</w:t>
            </w:r>
          </w:p>
        </w:tc>
        <w:tc>
          <w:tcPr>
            <w:tcW w:w="683" w:type="dxa"/>
            <w:vMerge/>
            <w:tcBorders>
              <w:left w:val="single" w:sz="4" w:space="0" w:color="000000"/>
              <w:right w:val="single" w:sz="4" w:space="0" w:color="000000"/>
            </w:tcBorders>
            <w:vAlign w:val="center"/>
          </w:tcPr>
          <w:p w:rsidR="001175CF" w:rsidRDefault="001175CF" w:rsidP="00412CE6">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持续打造“这里最槐荫”文旅品牌。</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区文化和旅游局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深化文旅品牌建设，构建“年度主线—季节主题—节事活动”三级体系，策划活动410余场，助力槐荫区蝉联上榜“2025中国市辖区旅游综合竞争力百强区”。依托“京沪文旅+”联盟推出百余条短视频，互动超百万；开展广场艺文市集、“槐漾非遗”等活动60余场；组织“悦读西城”活动200余场，惠及读者11.7万余人次。</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深化跨区域合作，充分依托“京沪文旅+联盟”成员单位资源优势，策划开展城市联合营销推广等活动。聚焦冬季消费需求，推出“槐荫你好”冬季主题系列文旅活动、“槐荫礼物”系列文创产品，依托老商埠资源，打造1904商埠等特色街区，进一步擦亮“这里最槐荫”文旅品牌。</w:t>
            </w:r>
          </w:p>
        </w:tc>
      </w:tr>
      <w:tr w:rsidR="001175CF" w:rsidTr="00412CE6">
        <w:trPr>
          <w:cantSplit/>
          <w:trHeight w:val="2595"/>
          <w:jc w:val="center"/>
        </w:trPr>
        <w:tc>
          <w:tcPr>
            <w:tcW w:w="836" w:type="dxa"/>
            <w:tcBorders>
              <w:top w:val="single" w:sz="4" w:space="0" w:color="000000"/>
              <w:left w:val="single" w:sz="4" w:space="0" w:color="000000"/>
              <w:bottom w:val="single" w:sz="4" w:space="0" w:color="auto"/>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15</w:t>
            </w:r>
          </w:p>
        </w:tc>
        <w:tc>
          <w:tcPr>
            <w:tcW w:w="683" w:type="dxa"/>
            <w:vMerge/>
            <w:tcBorders>
              <w:left w:val="single" w:sz="4" w:space="0" w:color="000000"/>
              <w:bottom w:val="single" w:sz="4" w:space="0" w:color="auto"/>
              <w:right w:val="single" w:sz="4" w:space="0" w:color="000000"/>
            </w:tcBorders>
            <w:vAlign w:val="center"/>
          </w:tcPr>
          <w:p w:rsidR="001175CF" w:rsidRDefault="001175CF" w:rsidP="00412CE6">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shd w:val="clear" w:color="auto" w:fill="FFFFFF"/>
              </w:rPr>
            </w:pPr>
            <w:r>
              <w:rPr>
                <w:rFonts w:ascii="仿宋" w:eastAsia="仿宋" w:hAnsi="仿宋" w:cs="仿宋" w:hint="eastAsia"/>
                <w:sz w:val="28"/>
                <w:szCs w:val="28"/>
              </w:rPr>
              <w:t>不断优化“会议酒店联盟”商业运作模式，支持承接各类学术会议500场以上。</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区商务局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服务保障2025山东省外贸优品购物季、第三届高层次人才招引大会、北京宠物医师大会等展会、会议相关人员入驻，1-9月份，承接各类会议450余场。</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继续加大会议酒店联盟宣传力度，重点做好四季度中华医学会学术会议等重点展会活动参会人员的住宿、餐饮保障工作，加强与会展中心的沟通对接，做好各类办会服务保障工作。</w:t>
            </w:r>
          </w:p>
        </w:tc>
      </w:tr>
      <w:tr w:rsidR="001175CF" w:rsidTr="00412CE6">
        <w:trPr>
          <w:cantSplit/>
          <w:trHeight w:val="5557"/>
          <w:jc w:val="center"/>
        </w:trPr>
        <w:tc>
          <w:tcPr>
            <w:tcW w:w="836" w:type="dxa"/>
            <w:tcBorders>
              <w:top w:val="single" w:sz="4" w:space="0" w:color="auto"/>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kern w:val="0"/>
                <w:sz w:val="28"/>
                <w:szCs w:val="28"/>
              </w:rPr>
              <w:lastRenderedPageBreak/>
              <w:t>16</w:t>
            </w:r>
          </w:p>
        </w:tc>
        <w:tc>
          <w:tcPr>
            <w:tcW w:w="683" w:type="dxa"/>
            <w:vMerge w:val="restart"/>
            <w:tcBorders>
              <w:top w:val="single" w:sz="4" w:space="0" w:color="auto"/>
              <w:left w:val="single" w:sz="4" w:space="0" w:color="000000"/>
              <w:right w:val="single" w:sz="4" w:space="0" w:color="000000"/>
            </w:tcBorders>
            <w:vAlign w:val="center"/>
          </w:tcPr>
          <w:p w:rsidR="001175CF" w:rsidRDefault="001175CF" w:rsidP="00412CE6">
            <w:pPr>
              <w:widowControl/>
              <w:adjustRightInd w:val="0"/>
              <w:snapToGrid w:val="0"/>
              <w:spacing w:line="360" w:lineRule="exact"/>
              <w:jc w:val="left"/>
              <w:textAlignment w:val="center"/>
              <w:rPr>
                <w:rFonts w:ascii="仿宋" w:eastAsia="仿宋" w:hAnsi="仿宋" w:cs="仿宋"/>
                <w:sz w:val="28"/>
                <w:szCs w:val="28"/>
              </w:rPr>
            </w:pPr>
            <w:r>
              <w:rPr>
                <w:rFonts w:ascii="仿宋" w:eastAsia="仿宋" w:hAnsi="仿宋" w:cs="仿宋" w:hint="eastAsia"/>
                <w:sz w:val="28"/>
                <w:szCs w:val="28"/>
              </w:rPr>
              <w:t>发展新质生产力</w:t>
            </w:r>
          </w:p>
        </w:tc>
        <w:tc>
          <w:tcPr>
            <w:tcW w:w="2140" w:type="dxa"/>
            <w:tcBorders>
              <w:top w:val="single" w:sz="4" w:space="0" w:color="auto"/>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支持定制企业争创全国重点实验室，支持微生态生物医学省实验室等高能级平台提升创新能力，加力取得一批科技成果。</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区科技局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全力推进济南微生态生物医学省实验室建设，打造国际顶尖的微生态生物医学创新平台，实验室已搬至主体科研楼，截至目前，实验室团队总规模近400余人，承担国家及省级科研项目26项，启动自主立项科研项目105项，发表高水平论文380余篇，申请发明专利64项。5月份实验室第一届理事会第三次会议和第一届第四次学术委员会顺利召开；9月份国际微生态大会吸引了来自德国、挪威、英国、加拿大、美国、澳大利亚等多个国家的百余位院士、专家及学者参会，为国内外微生态研究者提供了高水平的交流平台，推介多项重点技术成果；完成了首届联合培养研究生的论文答辩以及研究生生中期考核。</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持续推进高端载体建设，不断做好重点实验室等科技平台的建设工作，以行业领军企业为重点，主动与二机床等定制企业企业对接，上门服务，着重跟进碳化硅材料和微生态生物医学省级实验室建设情况，指导微生态申报省自然基金项目等科技项目，助力实验室产出更多科技成果。</w:t>
            </w:r>
          </w:p>
        </w:tc>
      </w:tr>
      <w:tr w:rsidR="001175CF" w:rsidTr="00412CE6">
        <w:trPr>
          <w:cantSplit/>
          <w:trHeight w:val="329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lastRenderedPageBreak/>
              <w:t>17</w:t>
            </w:r>
          </w:p>
        </w:tc>
        <w:tc>
          <w:tcPr>
            <w:tcW w:w="683" w:type="dxa"/>
            <w:vMerge/>
            <w:tcBorders>
              <w:left w:val="single" w:sz="4" w:space="0" w:color="000000"/>
              <w:right w:val="single" w:sz="4" w:space="0" w:color="000000"/>
            </w:tcBorders>
            <w:vAlign w:val="center"/>
          </w:tcPr>
          <w:p w:rsidR="001175CF" w:rsidRDefault="001175CF" w:rsidP="00412CE6">
            <w:pPr>
              <w:widowControl/>
              <w:adjustRightInd w:val="0"/>
              <w:snapToGrid w:val="0"/>
              <w:spacing w:line="360" w:lineRule="exact"/>
              <w:jc w:val="left"/>
              <w:textAlignment w:val="center"/>
              <w:rPr>
                <w:rFonts w:ascii="仿宋" w:eastAsia="仿宋" w:hAnsi="仿宋" w:cs="仿宋"/>
                <w:b/>
                <w:sz w:val="28"/>
                <w:szCs w:val="28"/>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新培育高新技术企业20家以上。</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区科技局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聘请4位大学教授及政和科技股份有限公司对115家申报企业中涉及的知识产权、研发组织管理水平、成果转化能力、涉及财务账目等内容进行审核并严格把关，提出修改和完善意见。推荐110家企业申报高新技术企业，结果待批。</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联合街道办做好高企政策的宣传工作，持续挖掘创新基础好、发展潜力大的科技型中小企业，对入库企业的动态管理与跟踪服务，推动一批科技型中小企业快速成长为高新技术企业。</w:t>
            </w:r>
          </w:p>
        </w:tc>
      </w:tr>
      <w:tr w:rsidR="001175CF" w:rsidTr="00412CE6">
        <w:trPr>
          <w:cantSplit/>
          <w:trHeight w:val="4568"/>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kern w:val="0"/>
                <w:sz w:val="28"/>
                <w:szCs w:val="28"/>
              </w:rPr>
              <w:t>18</w:t>
            </w:r>
          </w:p>
        </w:tc>
        <w:tc>
          <w:tcPr>
            <w:tcW w:w="683" w:type="dxa"/>
            <w:vMerge/>
            <w:tcBorders>
              <w:left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加快推进济南先进材料智造港等重点项目竣工投产，支持力冠微电子、晶芯半导体等企业增产扩能。</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济南槐荫经济开发区管委会</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1.济南先进材料智造港（一期）项目完成生产厂房主体施工，厂房内部正按照定制企业生产需求，逐步进行交接。首批100台设备全部进场，8月实现纳统入库，目前已完成纳统1.2896亿元。</w:t>
            </w:r>
          </w:p>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2.山东力冠微电子半导体设备二期生产基地项目。项目目前正在进行土地熟化的前置阶段，近期已与槐荫城投、力冠研讨成本测算，同步敲定协议细节，力争近期签订投资协议。</w:t>
            </w:r>
          </w:p>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3.晶芯半导体已提出扩产计划，拟利用槐荫数控产业园2000平方米厂房建设产线。</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坚持项目建设定期会商机制，及时协调解决项目投产运营中的各类问题，确保济南先进材料智造港（一期）等重点项目严格按照时间节点推进，按期投产达效。持续推进宽禁带半导体设备产业园、半导体精密仪器产业园、工业母机集聚区等6大产业片区规划策划，形成项目建设良性循环。</w:t>
            </w:r>
          </w:p>
        </w:tc>
      </w:tr>
      <w:tr w:rsidR="001175CF" w:rsidTr="00412CE6">
        <w:trPr>
          <w:cantSplit/>
          <w:trHeight w:val="533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lastRenderedPageBreak/>
              <w:t>19</w:t>
            </w:r>
          </w:p>
        </w:tc>
        <w:tc>
          <w:tcPr>
            <w:tcW w:w="683" w:type="dxa"/>
            <w:vMerge/>
            <w:tcBorders>
              <w:left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bCs/>
                <w:sz w:val="28"/>
                <w:szCs w:val="28"/>
              </w:rPr>
              <w:t>放大集成电路子基金、开发区“基金联盟”等创投资源优势，深耕碳化硅、氮化镓等半导体材料</w:t>
            </w:r>
            <w:r>
              <w:rPr>
                <w:rFonts w:ascii="仿宋" w:eastAsia="仿宋" w:hAnsi="仿宋" w:cs="仿宋" w:hint="eastAsia"/>
                <w:sz w:val="28"/>
                <w:szCs w:val="28"/>
              </w:rPr>
              <w:t>延链补链，大力招引上下游配套企业，定向储备优质项目20个以上，打造行业领先的第三代半导体产业集群。</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济南槐荫经济开发区管委会</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联合市产发、国联民生证券、槐荫城投，成立10亿元规模槐荫区集成电路产业基金，完成首期6500万元基金实缴，筛选储备项目10余个。储备半导体项目近30个，推动福瑞斯动力系统产品研发及应用、格瑞半导体芯片测试设备研发生产项目等7个半导体项目签约、落地。</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实施新兴产业跨越提升行动，围绕新一代信息技术、新材料、人工智能等新兴产业领域，加大项目招引力度，力争全年定向储备优质项目40个以上，签约落地半导体产业项目7个以上。广泛对接产业资本，加快推进工研拓芯集成电路等在谈项目签约落地。</w:t>
            </w:r>
          </w:p>
        </w:tc>
      </w:tr>
      <w:tr w:rsidR="001175CF" w:rsidTr="00412CE6">
        <w:trPr>
          <w:cantSplit/>
          <w:trHeight w:val="361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kern w:val="0"/>
                <w:sz w:val="28"/>
                <w:szCs w:val="28"/>
              </w:rPr>
              <w:lastRenderedPageBreak/>
              <w:t>20</w:t>
            </w:r>
          </w:p>
        </w:tc>
        <w:tc>
          <w:tcPr>
            <w:tcW w:w="683" w:type="dxa"/>
            <w:vMerge/>
            <w:tcBorders>
              <w:left w:val="single" w:sz="4" w:space="0" w:color="000000"/>
              <w:right w:val="single" w:sz="4" w:space="0" w:color="000000"/>
            </w:tcBorders>
            <w:vAlign w:val="center"/>
          </w:tcPr>
          <w:p w:rsidR="001175CF" w:rsidRDefault="001175CF" w:rsidP="00412CE6">
            <w:pPr>
              <w:widowControl/>
              <w:adjustRightInd w:val="0"/>
              <w:snapToGrid w:val="0"/>
              <w:spacing w:line="360" w:lineRule="exact"/>
              <w:jc w:val="left"/>
              <w:textAlignment w:val="center"/>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注重招引培育智能制造配套企业，储备优质项目10个以上。</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区工业和信息化局</w:t>
            </w:r>
          </w:p>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p>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济南槐荫经济开发区管委会</w:t>
            </w:r>
          </w:p>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p>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区投资促进局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截至目前，招引储备济南产发民生集成电路基金、碳化硅材料产业化项目、山东福瑞斯济南基地项目等智能制造配套企业项目。储备智能制造产业项目近20个，力促济铁轨道交通装备、海博智能测试仪器、凯恩真空设备研发生产基地项目等8个智能制造项目签约、落地。</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发挥1+3+9+X招商体系机制作用，持续对接项目公司，落实好全区“129”协同招商机制，依托中交创芯智谷、槐荫数控智能设备产业园等载体，立足九阳、二机床等“链主”企业，精准绘制招商图谱，力争全年定向储备优质项目30个以上，签约落地智能制造产业项目实现新的突破。</w:t>
            </w:r>
          </w:p>
        </w:tc>
      </w:tr>
      <w:tr w:rsidR="001175CF" w:rsidTr="00412CE6">
        <w:trPr>
          <w:cantSplit/>
          <w:trHeight w:val="3075"/>
          <w:jc w:val="center"/>
        </w:trPr>
        <w:tc>
          <w:tcPr>
            <w:tcW w:w="836" w:type="dxa"/>
            <w:tcBorders>
              <w:top w:val="single" w:sz="4" w:space="0" w:color="000000"/>
              <w:left w:val="single" w:sz="4" w:space="0" w:color="000000"/>
              <w:bottom w:val="single" w:sz="4" w:space="0" w:color="auto"/>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21</w:t>
            </w:r>
          </w:p>
        </w:tc>
        <w:tc>
          <w:tcPr>
            <w:tcW w:w="683" w:type="dxa"/>
            <w:vMerge/>
            <w:tcBorders>
              <w:left w:val="single" w:sz="4" w:space="0" w:color="000000"/>
              <w:bottom w:val="single" w:sz="4" w:space="0" w:color="auto"/>
              <w:right w:val="single" w:sz="4" w:space="0" w:color="000000"/>
            </w:tcBorders>
            <w:vAlign w:val="center"/>
          </w:tcPr>
          <w:p w:rsidR="001175CF" w:rsidRDefault="001175CF" w:rsidP="00412CE6">
            <w:pPr>
              <w:widowControl/>
              <w:adjustRightInd w:val="0"/>
              <w:snapToGrid w:val="0"/>
              <w:spacing w:line="360" w:lineRule="exact"/>
              <w:jc w:val="left"/>
              <w:textAlignment w:val="center"/>
              <w:rPr>
                <w:rFonts w:ascii="仿宋" w:eastAsia="仿宋" w:hAnsi="仿宋" w:cs="仿宋"/>
                <w:b/>
                <w:bCs/>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实施创新型企业梯度培育计划，新培育独角兽、瞪羚、专精特新等企业50家以上。</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区工业和信息化局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1-9月份，新培育31家创新型中小企业，获批省级专精特新企业40家。</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color w:val="000000"/>
                <w:sz w:val="28"/>
                <w:szCs w:val="28"/>
                <w:shd w:val="clear" w:color="auto" w:fill="FFFFFF"/>
              </w:rPr>
              <w:t>加大企业申报市级“一企一技术”研发中心的指导工作力度，开展政策解读和申报流程培训，帮助企业全面了解“一企一技术”研发中心的申报条件、评审标准及支持政策，确保企业申报方向明确、材料准备充分。持续构建分层培育，动态跟踪成长指标，加速企业梯度跃升。</w:t>
            </w:r>
          </w:p>
        </w:tc>
      </w:tr>
      <w:tr w:rsidR="001175CF" w:rsidTr="00412CE6">
        <w:trPr>
          <w:cantSplit/>
          <w:trHeight w:val="2019"/>
          <w:jc w:val="center"/>
        </w:trPr>
        <w:tc>
          <w:tcPr>
            <w:tcW w:w="836" w:type="dxa"/>
            <w:tcBorders>
              <w:top w:val="single" w:sz="4" w:space="0" w:color="auto"/>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kern w:val="0"/>
                <w:sz w:val="28"/>
                <w:szCs w:val="28"/>
              </w:rPr>
              <w:lastRenderedPageBreak/>
              <w:t>22</w:t>
            </w:r>
          </w:p>
        </w:tc>
        <w:tc>
          <w:tcPr>
            <w:tcW w:w="683" w:type="dxa"/>
            <w:vMerge w:val="restart"/>
            <w:tcBorders>
              <w:top w:val="single" w:sz="4" w:space="0" w:color="auto"/>
              <w:left w:val="single" w:sz="4" w:space="0" w:color="000000"/>
              <w:bottom w:val="single" w:sz="4" w:space="0" w:color="auto"/>
              <w:right w:val="single" w:sz="4" w:space="0" w:color="000000"/>
            </w:tcBorders>
            <w:vAlign w:val="center"/>
          </w:tcPr>
          <w:p w:rsidR="001175CF" w:rsidRDefault="001175CF" w:rsidP="00412CE6">
            <w:pPr>
              <w:widowControl/>
              <w:adjustRightInd w:val="0"/>
              <w:snapToGrid w:val="0"/>
              <w:spacing w:line="360" w:lineRule="exact"/>
              <w:jc w:val="left"/>
              <w:textAlignment w:val="center"/>
              <w:rPr>
                <w:rFonts w:ascii="仿宋" w:eastAsia="仿宋" w:hAnsi="仿宋" w:cs="仿宋"/>
                <w:sz w:val="28"/>
                <w:szCs w:val="28"/>
              </w:rPr>
            </w:pPr>
            <w:r>
              <w:rPr>
                <w:rFonts w:ascii="仿宋" w:eastAsia="仿宋" w:hAnsi="仿宋" w:cs="仿宋" w:hint="eastAsia"/>
                <w:sz w:val="28"/>
                <w:szCs w:val="28"/>
              </w:rPr>
              <w:t>全面深化改革</w:t>
            </w:r>
          </w:p>
        </w:tc>
        <w:tc>
          <w:tcPr>
            <w:tcW w:w="2140" w:type="dxa"/>
            <w:tcBorders>
              <w:top w:val="single" w:sz="4" w:space="0" w:color="auto"/>
              <w:left w:val="single" w:sz="4" w:space="0" w:color="000000"/>
              <w:bottom w:val="single" w:sz="4" w:space="0" w:color="000000"/>
              <w:right w:val="single" w:sz="4" w:space="0" w:color="000000"/>
            </w:tcBorders>
            <w:noWrap/>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深化农村“三变”改革，加强农村“三资”数字化管理，配合组织部做好年收入50万元以上村相关统计工作。</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区农业农村局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聚焦提级巡察发现的57个问题和历年审计发现问题，制定5个规范性文件，街道完成31个问题的整改。开展2024年度村级财务审计；以村级合同监管为“小切口”，对全区3820份合同专项审计，截至目前，不规范合同440份，已整改202份。实施村集体清产核资，对全区101个村居的“三资”报表进行审核，采用召开调度会、现场抽查、下发提醒函等方式，压实街道、村“两委”工作责任。</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三变”改革已完成15个村的验收，三季度11村上报区级验收暂未通过，正在整改中。针对农村“三资”管理、乡村振兴资金监管等问题，采用行业检查、联动抽查、审计、个案侦办等多种手段，加强排查，深挖细扣，全面推动问题清仓见底。坚持清单式监督，对发现的问题，逐一建立台账，明确责任人，跟踪整改到位。对思想认识不到位、落实制度不严格、问题多发频发等情况，采用通报、发送督办函、向纪委移交线索等方式，全面压实责任。</w:t>
            </w:r>
          </w:p>
        </w:tc>
      </w:tr>
      <w:tr w:rsidR="001175CF" w:rsidTr="00412CE6">
        <w:trPr>
          <w:cantSplit/>
          <w:trHeight w:val="430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kern w:val="0"/>
                <w:sz w:val="28"/>
                <w:szCs w:val="28"/>
              </w:rPr>
              <w:lastRenderedPageBreak/>
              <w:t>23</w:t>
            </w:r>
          </w:p>
        </w:tc>
        <w:tc>
          <w:tcPr>
            <w:tcW w:w="683" w:type="dxa"/>
            <w:vMerge/>
            <w:tcBorders>
              <w:top w:val="single" w:sz="4" w:space="0" w:color="auto"/>
              <w:left w:val="single" w:sz="4" w:space="0" w:color="000000"/>
              <w:bottom w:val="single" w:sz="4" w:space="0" w:color="auto"/>
              <w:right w:val="single" w:sz="4" w:space="0" w:color="000000"/>
            </w:tcBorders>
            <w:vAlign w:val="center"/>
          </w:tcPr>
          <w:p w:rsidR="001175CF" w:rsidRDefault="001175CF" w:rsidP="00412CE6">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优化“槐小花”等特色服务，推动“高效办成一件事”提质增效。</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区行政审批服务局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创新打造“楼宇槐小花品牌”并组建专属服务队，自3月上线以来，已开展5期专项培训，吸纳80余名楼宇运营方业务骨干加入，设置56个服务点，服务100余座重点楼宇（园区）基本实现全区16个街道重点楼宇全覆盖，累计为民营企业提供精准帮办服务100余次，有效节省企业时间与人力成本。不断拓展服务边界，前三季度已与临沂兰陵等24地成功签署“高效办成一件事”合作协议，进一步放大“槐小花”服务效能，全方位助力政务服务提质升级。</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常态化开展“我陪群众走流程”，排查问题优化流程；拓展茶产业合作 “朋友圈”，深化跨域通办；持续完善工作机制，创新服务方式，提升“高效 办成一件事”改革成效，为企业群众提供更优质服务。</w:t>
            </w:r>
          </w:p>
        </w:tc>
      </w:tr>
      <w:tr w:rsidR="001175CF" w:rsidTr="00412CE6">
        <w:trPr>
          <w:cantSplit/>
          <w:trHeight w:val="463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lastRenderedPageBreak/>
              <w:t>24</w:t>
            </w:r>
          </w:p>
        </w:tc>
        <w:tc>
          <w:tcPr>
            <w:tcW w:w="683" w:type="dxa"/>
            <w:vMerge/>
            <w:tcBorders>
              <w:top w:val="single" w:sz="4" w:space="0" w:color="auto"/>
              <w:left w:val="single" w:sz="4" w:space="0" w:color="000000"/>
              <w:bottom w:val="single" w:sz="4" w:space="0" w:color="auto"/>
              <w:right w:val="single" w:sz="4" w:space="0" w:color="000000"/>
            </w:tcBorders>
            <w:vAlign w:val="center"/>
          </w:tcPr>
          <w:p w:rsidR="001175CF" w:rsidRDefault="001175CF" w:rsidP="00412CE6">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highlight w:val="yellow"/>
              </w:rPr>
            </w:pPr>
            <w:r>
              <w:rPr>
                <w:rFonts w:ascii="仿宋" w:eastAsia="仿宋" w:hAnsi="仿宋" w:cs="仿宋" w:hint="eastAsia"/>
                <w:sz w:val="28"/>
                <w:szCs w:val="28"/>
              </w:rPr>
              <w:t>提升社会治理智慧化水平，全区智慧社区达到40家。</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区大数据局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highlight w:val="yellow"/>
              </w:rPr>
            </w:pPr>
            <w:r>
              <w:rPr>
                <w:rFonts w:ascii="仿宋" w:eastAsia="仿宋" w:hAnsi="仿宋" w:cs="仿宋" w:hint="eastAsia"/>
                <w:sz w:val="28"/>
                <w:szCs w:val="28"/>
              </w:rPr>
              <w:t>建立统一管理、分工负责、协同推进的工作实施机制，各街道办事处、区政府各部门均明确专人负责，按照《山东省智慧社区建设指标》的要求，目前已成功建设标杆型智慧社区1个，成长型智慧社区3个，基础型智慧社区39个，全区累计建设智慧社区总数达43个。</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highlight w:val="yellow"/>
              </w:rPr>
            </w:pPr>
            <w:r>
              <w:rPr>
                <w:rFonts w:ascii="仿宋" w:eastAsia="仿宋" w:hAnsi="仿宋" w:cs="仿宋" w:hint="eastAsia"/>
                <w:sz w:val="28"/>
                <w:szCs w:val="28"/>
              </w:rPr>
              <w:t>下一步将进一步加强组织领导，借鉴有关成功经验，从全局上把握好工作方向和重点，科学推进智慧社区建设。认真抓好智慧社区建设宣传和普及工作，使群众充分认识推进智慧社区建设的重要性，调动全社会参与的积极性和创造性。同时注重加强人才队伍建设和培养，调动社区现有人员的积极性，邀请技术人员为社区工作者进行技能培训，确保智慧社区建设运维工作人员的稳定性和长期性，不断提高智慧社区建设质量。</w:t>
            </w:r>
          </w:p>
        </w:tc>
      </w:tr>
      <w:tr w:rsidR="001175CF" w:rsidTr="00412CE6">
        <w:trPr>
          <w:cantSplit/>
          <w:trHeight w:val="521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lastRenderedPageBreak/>
              <w:t>25</w:t>
            </w:r>
          </w:p>
        </w:tc>
        <w:tc>
          <w:tcPr>
            <w:tcW w:w="683" w:type="dxa"/>
            <w:vMerge/>
            <w:tcBorders>
              <w:top w:val="single" w:sz="4" w:space="0" w:color="auto"/>
              <w:left w:val="single" w:sz="4" w:space="0" w:color="000000"/>
              <w:bottom w:val="single" w:sz="4" w:space="0" w:color="auto"/>
              <w:right w:val="single" w:sz="4" w:space="0" w:color="000000"/>
            </w:tcBorders>
            <w:vAlign w:val="center"/>
          </w:tcPr>
          <w:p w:rsidR="001175CF" w:rsidRDefault="001175CF" w:rsidP="00412CE6">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服务保障京台高速、轨道交通、腊山河西路北延等工程，完成腊山河西路南延道路建设，加快完善通达四方、连接内外的路网体系。</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区水务局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1.京台高速：京台高速改扩建项目全线已进场施工。</w:t>
            </w:r>
          </w:p>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2.轨道交通：按时完成轨道集团下达的轨道交通4、6号线房屋征收、土地收储、临时用地租用(延期)等任务，现4、6号线所有站点、车站、区间均已正常进场施工。</w:t>
            </w:r>
          </w:p>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3.腊山河西路北延：项目计划2027年6月通车。截至目前，钢箱梁螺栓连接完成，桥面板吊装连接完成20%，箱室底肋板焊接完成80%；济齐路路口临时支架拆除完成。</w:t>
            </w:r>
          </w:p>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4.腊山河西路南延：已完成除轨道交通占压外的苗木迁移、雨水管道、通讯管道、绿化填土、道路基层及沥青下面层、中面层的施工，完成量80%。</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1.京台高速：配合建设单位和施工单位做好京台高速改扩建项目后续工作。</w:t>
            </w:r>
          </w:p>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2.轨道交通：根据轨道集团用地计划，配合其完成国有土地收储、临时用地续租(归还)等相关工作。</w:t>
            </w:r>
          </w:p>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 xml:space="preserve">3.腊山河西路北延工程：后续将持续关注施工进度，帮扶推进。 </w:t>
            </w:r>
          </w:p>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4.腊山河西路南延工程：在10月底轨道集团完成场地移交后，立即组织道路剩余路段施工。</w:t>
            </w:r>
          </w:p>
        </w:tc>
      </w:tr>
      <w:tr w:rsidR="001175CF" w:rsidTr="00412CE6">
        <w:trPr>
          <w:cantSplit/>
          <w:trHeight w:val="320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lastRenderedPageBreak/>
              <w:t>26</w:t>
            </w:r>
          </w:p>
        </w:tc>
        <w:tc>
          <w:tcPr>
            <w:tcW w:w="683" w:type="dxa"/>
            <w:vMerge/>
            <w:tcBorders>
              <w:top w:val="single" w:sz="4" w:space="0" w:color="auto"/>
              <w:left w:val="single" w:sz="4" w:space="0" w:color="000000"/>
              <w:bottom w:val="single" w:sz="4" w:space="0" w:color="auto"/>
              <w:right w:val="single" w:sz="4" w:space="0" w:color="000000"/>
            </w:tcBorders>
            <w:vAlign w:val="center"/>
          </w:tcPr>
          <w:p w:rsidR="001175CF" w:rsidRDefault="001175CF" w:rsidP="00412CE6">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auto"/>
              <w:left w:val="single" w:sz="4" w:space="0" w:color="000000"/>
              <w:bottom w:val="single" w:sz="4" w:space="0" w:color="auto"/>
              <w:right w:val="single" w:sz="4" w:space="0" w:color="000000"/>
            </w:tcBorders>
            <w:noWrap/>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新建共建公园游园3处、绿道5公里、市民休息点10处，有机串联公园、山体等城市绿色空间。</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区园林绿化服务中心</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积极推进“共建花园”建设活动，已完成共建公园游园3处；5公里绿道建设完成，持续提升绿道环线品质；完成市民休息点10处；进一步串联了公园、山体等城市绿色空间。</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一是不断拓展“共建花园”多元功能，打造特色社会治理品牌。二是加快驿站、座椅等基础设施建设，使腊山河周边景观及管理服务水平得到全面提升，为市民提供更好的步行体验。三是不断提升辖区绿化品质，在辖区主干道、公园、广场等根据不同花卉色彩搭配和新颖造型需求，设计花坛种植方案。</w:t>
            </w:r>
          </w:p>
        </w:tc>
      </w:tr>
      <w:tr w:rsidR="001175CF" w:rsidTr="00412CE6">
        <w:trPr>
          <w:cantSplit/>
          <w:trHeight w:val="9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27</w:t>
            </w:r>
          </w:p>
        </w:tc>
        <w:tc>
          <w:tcPr>
            <w:tcW w:w="683" w:type="dxa"/>
            <w:vMerge w:val="restart"/>
            <w:tcBorders>
              <w:top w:val="single" w:sz="4" w:space="0" w:color="auto"/>
              <w:left w:val="single" w:sz="4" w:space="0" w:color="000000"/>
              <w:bottom w:val="single" w:sz="4" w:space="0" w:color="auto"/>
              <w:right w:val="single" w:sz="4" w:space="0" w:color="000000"/>
            </w:tcBorders>
            <w:vAlign w:val="center"/>
          </w:tcPr>
          <w:p w:rsidR="001175CF" w:rsidRDefault="001175CF" w:rsidP="00412CE6">
            <w:pPr>
              <w:widowControl/>
              <w:adjustRightInd w:val="0"/>
              <w:snapToGrid w:val="0"/>
              <w:spacing w:line="360" w:lineRule="exact"/>
              <w:jc w:val="left"/>
              <w:textAlignment w:val="center"/>
              <w:rPr>
                <w:rFonts w:ascii="仿宋" w:eastAsia="仿宋" w:hAnsi="仿宋" w:cs="仿宋"/>
                <w:sz w:val="28"/>
                <w:szCs w:val="28"/>
              </w:rPr>
            </w:pPr>
            <w:r>
              <w:rPr>
                <w:rFonts w:ascii="仿宋" w:eastAsia="仿宋" w:hAnsi="仿宋" w:cs="仿宋" w:hint="eastAsia"/>
                <w:sz w:val="28"/>
                <w:szCs w:val="28"/>
              </w:rPr>
              <w:t>保障和改善民生</w:t>
            </w: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落实高校毕业生“启航扬帆”计划，做好特色招聘、职业指导、培训见习等就业服务。</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区人力资源社会保障局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1-9月份，开发大学生就业援助岗位244个。组织山东工艺美术学院、山东第一医科大学春季双选会招聘活动，624家企业参会，提供岗位1.67万个。开展送政策服务，前往乾泰大厦、山东厚稷等十余家单位宣讲就业见习政策，派出工作人员40余人次，现场指导企业就业见习岗位开发流程，开发见习岗位2977个。实名登记系统接收槐荫区户籍的2025年度离校未就业高校毕业生949人，联系率、服务率均达100%。</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下一步，区人社局将持续开展高校毕业生特色招聘活动，积极对接包挂的驻济高校，在秋季招聘季开展“选择济南 共赢未来”系列招聘活动。同时，结合“人社惠企直通车”人社政策宣讲，开展公共就业服务进校园活动。深入辖区企业广泛开展就业见习政策宣讲，持续推动政策宣传、招聘服务、就业指导、创业服务、职业培训等“进校园”“进企业”，广泛提升政策服务知晓度。</w:t>
            </w:r>
          </w:p>
        </w:tc>
      </w:tr>
      <w:tr w:rsidR="001175CF" w:rsidTr="00412CE6">
        <w:trPr>
          <w:cantSplit/>
          <w:trHeight w:val="264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lastRenderedPageBreak/>
              <w:t>28</w:t>
            </w:r>
          </w:p>
        </w:tc>
        <w:tc>
          <w:tcPr>
            <w:tcW w:w="683" w:type="dxa"/>
            <w:vMerge/>
            <w:tcBorders>
              <w:top w:val="single" w:sz="4" w:space="0" w:color="auto"/>
              <w:left w:val="single" w:sz="4" w:space="0" w:color="000000"/>
              <w:bottom w:val="single" w:sz="4" w:space="0" w:color="auto"/>
              <w:right w:val="single" w:sz="4" w:space="0" w:color="000000"/>
            </w:tcBorders>
            <w:vAlign w:val="center"/>
          </w:tcPr>
          <w:p w:rsidR="001175CF" w:rsidRDefault="001175CF" w:rsidP="00412CE6">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持续扩增教育资源，新建君悦首府幼儿园等5处教育设施，新增学位1710个。</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区教育和体育局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西沙王庄城中村改造项目X-1地块幼儿园、君悦首府幼儿园、青岛路以北X地块幼儿园3处教育设施已完工；腊山河西路东侧X-1地块幼儿园教学楼基本完工，正在进行室外工程施工；海信时代城15班幼儿园正在进行主体施工。</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积极协助代建单位办理项目建设手续，督促代建单位在保障安全和质量的前提下加快施工进度,确保完成各项建设和开工任务，做好教育设施的对接接收工作。</w:t>
            </w:r>
          </w:p>
        </w:tc>
      </w:tr>
      <w:tr w:rsidR="001175CF" w:rsidTr="00412CE6">
        <w:trPr>
          <w:cantSplit/>
          <w:trHeight w:val="189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29</w:t>
            </w:r>
          </w:p>
        </w:tc>
        <w:tc>
          <w:tcPr>
            <w:tcW w:w="683" w:type="dxa"/>
            <w:vMerge/>
            <w:tcBorders>
              <w:top w:val="single" w:sz="4" w:space="0" w:color="auto"/>
              <w:left w:val="single" w:sz="4" w:space="0" w:color="000000"/>
              <w:bottom w:val="single" w:sz="4" w:space="0" w:color="auto"/>
              <w:right w:val="single" w:sz="4" w:space="0" w:color="000000"/>
            </w:tcBorders>
            <w:vAlign w:val="center"/>
          </w:tcPr>
          <w:p w:rsidR="001175CF" w:rsidRDefault="001175CF" w:rsidP="00412CE6">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建设区劳动教育研学基地，打造一批劳动教育优质课程资源。</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区教育和体育局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旺久劳动教育基地已基本完工，劳动实践项目、课程资源和工作方案已基本完成，具备开展劳动教育活动的条件；双龙湾项目仍处于施工建设阶段，不具备启用条件。</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计划于10月下旬，联合区农村农业局、吴家堡街道办事处、济南旺久农业有限公司共同签署合作协议，举办槐荫区青少年劳动教育基地授牌启动仪式。</w:t>
            </w:r>
          </w:p>
        </w:tc>
      </w:tr>
      <w:tr w:rsidR="001175CF" w:rsidTr="00412CE6">
        <w:trPr>
          <w:cantSplit/>
          <w:trHeight w:val="271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30</w:t>
            </w:r>
          </w:p>
        </w:tc>
        <w:tc>
          <w:tcPr>
            <w:tcW w:w="683" w:type="dxa"/>
            <w:vMerge/>
            <w:tcBorders>
              <w:top w:val="single" w:sz="4" w:space="0" w:color="auto"/>
              <w:left w:val="single" w:sz="4" w:space="0" w:color="000000"/>
              <w:bottom w:val="single" w:sz="4" w:space="0" w:color="auto"/>
              <w:right w:val="single" w:sz="4" w:space="0" w:color="000000"/>
            </w:tcBorders>
            <w:vAlign w:val="center"/>
          </w:tcPr>
          <w:p w:rsidR="001175CF" w:rsidRDefault="001175CF" w:rsidP="00412CE6">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bCs/>
                <w:sz w:val="28"/>
                <w:szCs w:val="28"/>
              </w:rPr>
              <w:t>深化“互联网+养老”模式，</w:t>
            </w:r>
            <w:r>
              <w:rPr>
                <w:rFonts w:ascii="仿宋" w:eastAsia="仿宋" w:hAnsi="仿宋" w:cs="仿宋" w:hint="eastAsia"/>
                <w:sz w:val="28"/>
                <w:szCs w:val="28"/>
              </w:rPr>
              <w:t>新建4家养老服务机构、</w:t>
            </w:r>
            <w:r>
              <w:rPr>
                <w:rFonts w:ascii="仿宋" w:eastAsia="仿宋" w:hAnsi="仿宋" w:cs="仿宋" w:hint="eastAsia"/>
                <w:bCs/>
                <w:sz w:val="28"/>
                <w:szCs w:val="28"/>
              </w:rPr>
              <w:t>1处银发经济综合体。</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区民政局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kern w:val="0"/>
                <w:sz w:val="28"/>
                <w:szCs w:val="28"/>
                <w:lang/>
              </w:rPr>
              <w:t>牵头成立区银发经济工作推进专班，先后两次联合国家发展和改革委员会社会发展研究所开展银发经济调研，编制《济南市槐荫区“十五五”银发经济发展规划》，4处新建小区配套养老服务机构已完成第三方运营管理招标，服务企业正在进行装修改造。</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kern w:val="0"/>
                <w:sz w:val="28"/>
                <w:szCs w:val="28"/>
                <w:lang/>
              </w:rPr>
              <w:t>加强与专家团队沟通对接，尽快形成《济南市槐荫区“十五五”银发经济发展规划》文稿，进一步明确银发经济发展的总体思路，推动项目落地。继续深化健全“互联网+养老”综合监管机制，加快推进4处养老服务机构改造装修进度。</w:t>
            </w:r>
          </w:p>
        </w:tc>
      </w:tr>
      <w:tr w:rsidR="001175CF" w:rsidTr="00412CE6">
        <w:trPr>
          <w:cantSplit/>
          <w:trHeight w:val="417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lastRenderedPageBreak/>
              <w:t>31</w:t>
            </w:r>
          </w:p>
        </w:tc>
        <w:tc>
          <w:tcPr>
            <w:tcW w:w="683" w:type="dxa"/>
            <w:vMerge/>
            <w:tcBorders>
              <w:top w:val="single" w:sz="4" w:space="0" w:color="auto"/>
              <w:left w:val="single" w:sz="4" w:space="0" w:color="000000"/>
              <w:bottom w:val="single" w:sz="4" w:space="0" w:color="auto"/>
              <w:right w:val="single" w:sz="4" w:space="0" w:color="000000"/>
            </w:tcBorders>
            <w:vAlign w:val="center"/>
          </w:tcPr>
          <w:p w:rsidR="001175CF" w:rsidRDefault="001175CF" w:rsidP="00412CE6">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1175CF" w:rsidRDefault="001175CF" w:rsidP="00412CE6">
            <w:pPr>
              <w:widowControl/>
              <w:adjustRightInd w:val="0"/>
              <w:snapToGrid w:val="0"/>
              <w:spacing w:line="360" w:lineRule="exact"/>
              <w:textAlignment w:val="center"/>
              <w:rPr>
                <w:rFonts w:ascii="仿宋" w:eastAsia="仿宋" w:hAnsi="仿宋" w:cs="仿宋"/>
                <w:bCs/>
                <w:sz w:val="28"/>
                <w:szCs w:val="28"/>
              </w:rPr>
            </w:pPr>
            <w:r>
              <w:rPr>
                <w:rFonts w:ascii="仿宋" w:eastAsia="仿宋" w:hAnsi="仿宋" w:cs="仿宋" w:hint="eastAsia"/>
                <w:sz w:val="28"/>
                <w:szCs w:val="28"/>
              </w:rPr>
              <w:t>推进“健康槐荫”</w:t>
            </w:r>
            <w:r>
              <w:rPr>
                <w:rFonts w:ascii="仿宋" w:eastAsia="仿宋" w:hAnsi="仿宋" w:cs="仿宋" w:hint="eastAsia"/>
                <w:bCs/>
                <w:sz w:val="28"/>
                <w:szCs w:val="28"/>
              </w:rPr>
              <w:t>行动</w:t>
            </w:r>
            <w:r>
              <w:rPr>
                <w:rFonts w:ascii="仿宋" w:eastAsia="仿宋" w:hAnsi="仿宋" w:cs="仿宋" w:hint="eastAsia"/>
                <w:sz w:val="28"/>
                <w:szCs w:val="28"/>
              </w:rPr>
              <w:t>，提升改造20家村卫生室，推动槐荫人民医院实现创新高质量发展。</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区卫生健康局</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开展第37个全国爱国卫生月、第38个世界无烟日宣传活动；加强病媒生物防制，培训各街道工作人员70余名，开展网格员应急急救知识培训共656人；开展6次督导检查，召开2次村卫生室督导反馈会议，12家村卫生室已完成提升改造待市级验收，8家在积极提升改造中；</w:t>
            </w:r>
            <w:r>
              <w:rPr>
                <w:rFonts w:ascii="仿宋" w:eastAsia="仿宋" w:hAnsi="仿宋" w:cs="仿宋" w:hint="eastAsia"/>
                <w:kern w:val="0"/>
                <w:sz w:val="28"/>
                <w:szCs w:val="28"/>
                <w:lang/>
              </w:rPr>
              <w:t>槐荫人民医院急诊综合楼正式投入使用，前三季度出院患者手术占比49.33%，同比增长2.81%，三级手术占比20.44%，同比增长2.77%，病床使用率66.29%，同比增长4.28%。</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一是定期统计“健康槐荫”34项数据指标，开展健康知识科普活动，不断提升居民健康素养水平，组织责任单位深入贯彻落实18项健康行动；二是针对房屋产权公有等问题协调有关部门，督促有关街道、村居尽快落实村卫生室房屋产权公有；三是</w:t>
            </w:r>
            <w:r>
              <w:rPr>
                <w:rFonts w:ascii="仿宋" w:eastAsia="仿宋" w:hAnsi="仿宋" w:cs="仿宋" w:hint="eastAsia"/>
                <w:kern w:val="0"/>
                <w:sz w:val="28"/>
                <w:szCs w:val="28"/>
                <w:lang/>
              </w:rPr>
              <w:t>协助槐荫人民医院各个科室建设与运营，进一步推进与中国人民解放军总医院第七医学中心紧密性合作，发挥知名专家入驻优势，全面推动医院高质量发展。</w:t>
            </w:r>
          </w:p>
        </w:tc>
      </w:tr>
      <w:tr w:rsidR="001175CF" w:rsidTr="00412CE6">
        <w:trPr>
          <w:cantSplit/>
          <w:trHeight w:val="211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32</w:t>
            </w:r>
          </w:p>
        </w:tc>
        <w:tc>
          <w:tcPr>
            <w:tcW w:w="683" w:type="dxa"/>
            <w:vMerge/>
            <w:tcBorders>
              <w:top w:val="single" w:sz="4" w:space="0" w:color="auto"/>
              <w:left w:val="single" w:sz="4" w:space="0" w:color="000000"/>
              <w:bottom w:val="single" w:sz="4" w:space="0" w:color="auto"/>
              <w:right w:val="single" w:sz="4" w:space="0" w:color="000000"/>
            </w:tcBorders>
            <w:vAlign w:val="center"/>
          </w:tcPr>
          <w:p w:rsidR="001175CF" w:rsidRDefault="001175CF" w:rsidP="00412CE6">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1175CF" w:rsidRDefault="001175CF" w:rsidP="00412CE6">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优化提升3处体育主题公园，</w:t>
            </w:r>
            <w:r>
              <w:rPr>
                <w:rFonts w:ascii="仿宋" w:eastAsia="仿宋" w:hAnsi="仿宋" w:cs="仿宋" w:hint="eastAsia"/>
                <w:bCs/>
                <w:sz w:val="28"/>
                <w:szCs w:val="28"/>
              </w:rPr>
              <w:t>打造群众身边的“十分钟健身圈”。</w:t>
            </w:r>
          </w:p>
        </w:tc>
        <w:tc>
          <w:tcPr>
            <w:tcW w:w="1376"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区体育事业发展中心</w:t>
            </w:r>
          </w:p>
        </w:tc>
        <w:tc>
          <w:tcPr>
            <w:tcW w:w="5629"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积极推进济南市森林公园、杨柳春风体育公园及齐州路体育主题公园的优化提升。截止目前，已完成济南市森林公园体育场地、健身步道、智能健身器材及康养健身器材等设施的提升改造工作。</w:t>
            </w:r>
          </w:p>
        </w:tc>
        <w:tc>
          <w:tcPr>
            <w:tcW w:w="5081" w:type="dxa"/>
            <w:tcBorders>
              <w:top w:val="single" w:sz="4" w:space="0" w:color="000000"/>
              <w:left w:val="single" w:sz="4" w:space="0" w:color="000000"/>
              <w:bottom w:val="single" w:sz="4" w:space="0" w:color="000000"/>
              <w:right w:val="single" w:sz="4" w:space="0" w:color="000000"/>
            </w:tcBorders>
            <w:vAlign w:val="center"/>
          </w:tcPr>
          <w:p w:rsidR="001175CF" w:rsidRDefault="001175CF" w:rsidP="00412CE6">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杨柳春风体育公园已完成规划设计和招标流程，目前正在施工建设，计划12月底完工；齐州路体育主题公园正在施工建设，计划年底前完成。</w:t>
            </w:r>
          </w:p>
        </w:tc>
      </w:tr>
    </w:tbl>
    <w:p w:rsidR="00456C1E" w:rsidRDefault="00456C1E"/>
    <w:sectPr w:rsidR="00456C1E" w:rsidSect="001175CF">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文星标宋">
    <w:panose1 w:val="02010609000101010101"/>
    <w:charset w:val="86"/>
    <w:family w:val="auto"/>
    <w:pitch w:val="variable"/>
    <w:sig w:usb0="00000003" w:usb1="080E0000" w:usb2="00000010" w:usb3="00000000" w:csb0="00040001" w:csb1="00000000"/>
  </w:font>
  <w:font w:name="文星仿宋">
    <w:panose1 w:val="02010609000101010101"/>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175CF"/>
    <w:rsid w:val="001175CF"/>
    <w:rsid w:val="00456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5C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1175CF"/>
    <w:pPr>
      <w:spacing w:after="120"/>
      <w:ind w:leftChars="200" w:left="420"/>
    </w:pPr>
  </w:style>
  <w:style w:type="character" w:customStyle="1" w:styleId="Char">
    <w:name w:val="正文文本缩进 Char"/>
    <w:basedOn w:val="a0"/>
    <w:link w:val="a3"/>
    <w:uiPriority w:val="99"/>
    <w:semiHidden/>
    <w:rsid w:val="001175CF"/>
    <w:rPr>
      <w:szCs w:val="24"/>
    </w:rPr>
  </w:style>
  <w:style w:type="paragraph" w:styleId="2">
    <w:name w:val="Body Text First Indent 2"/>
    <w:basedOn w:val="a3"/>
    <w:link w:val="2Char"/>
    <w:autoRedefine/>
    <w:qFormat/>
    <w:rsid w:val="001175CF"/>
    <w:pPr>
      <w:widowControl/>
      <w:spacing w:before="120" w:after="0" w:line="760" w:lineRule="exact"/>
      <w:ind w:leftChars="0" w:left="1" w:firstLineChars="200" w:firstLine="420"/>
      <w:jc w:val="left"/>
    </w:pPr>
    <w:rPr>
      <w:rFonts w:ascii="Times New Roman" w:eastAsia="仿宋_GB2312" w:hAnsi="Times New Roman"/>
      <w:kern w:val="0"/>
      <w:sz w:val="32"/>
      <w:szCs w:val="20"/>
    </w:rPr>
  </w:style>
  <w:style w:type="character" w:customStyle="1" w:styleId="2Char">
    <w:name w:val="正文首行缩进 2 Char"/>
    <w:basedOn w:val="Char"/>
    <w:link w:val="2"/>
    <w:rsid w:val="001175CF"/>
    <w:rPr>
      <w:rFonts w:ascii="Times New Roman" w:eastAsia="仿宋_GB2312" w:hAnsi="Times New Roman"/>
      <w:kern w:val="0"/>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1396</Words>
  <Characters>7960</Characters>
  <Application>Microsoft Office Word</Application>
  <DocSecurity>0</DocSecurity>
  <Lines>66</Lines>
  <Paragraphs>18</Paragraphs>
  <ScaleCrop>false</ScaleCrop>
  <Company/>
  <LinksUpToDate>false</LinksUpToDate>
  <CharactersWithSpaces>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2026-04-13T06:29:00Z</dcterms:created>
  <dcterms:modified xsi:type="dcterms:W3CDTF">2026-04-13T06:32:00Z</dcterms:modified>
</cp:coreProperties>
</file>