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C9" w:rsidRDefault="001536C9" w:rsidP="001536C9">
      <w:pPr>
        <w:spacing w:line="560" w:lineRule="exact"/>
        <w:rPr>
          <w:rFonts w:ascii="黑体" w:eastAsia="黑体" w:hAnsi="黑体" w:cs="黑体"/>
          <w:sz w:val="28"/>
          <w:szCs w:val="28"/>
        </w:rPr>
      </w:pPr>
      <w:r>
        <w:rPr>
          <w:rFonts w:ascii="黑体" w:eastAsia="黑体" w:hAnsi="黑体" w:cs="黑体" w:hint="eastAsia"/>
          <w:sz w:val="28"/>
          <w:szCs w:val="28"/>
        </w:rPr>
        <w:t>附件1</w:t>
      </w:r>
    </w:p>
    <w:p w:rsidR="001536C9" w:rsidRDefault="001536C9" w:rsidP="001536C9">
      <w:pPr>
        <w:spacing w:line="500" w:lineRule="exact"/>
        <w:jc w:val="center"/>
        <w:rPr>
          <w:rFonts w:ascii="方正小标宋简体" w:eastAsia="方正小标宋简体" w:hAnsi="方正小标宋简体" w:cs="方正小标宋简体"/>
          <w:color w:val="000000"/>
          <w:kern w:val="0"/>
          <w:sz w:val="44"/>
          <w:szCs w:val="44"/>
          <w:lang/>
        </w:rPr>
      </w:pPr>
      <w:bookmarkStart w:id="0" w:name="OLE_LINK3"/>
      <w:bookmarkStart w:id="1" w:name="OLE_LINK4"/>
      <w:r>
        <w:rPr>
          <w:rFonts w:ascii="方正小标宋简体" w:eastAsia="方正小标宋简体" w:hAnsi="方正小标宋简体" w:cs="方正小标宋简体" w:hint="eastAsia"/>
          <w:color w:val="000000"/>
          <w:kern w:val="0"/>
          <w:sz w:val="44"/>
          <w:szCs w:val="44"/>
          <w:lang/>
        </w:rPr>
        <w:t>2025年政府工作报告确定的重点任务推进情况（上半年）</w:t>
      </w:r>
    </w:p>
    <w:bookmarkEnd w:id="0"/>
    <w:bookmarkEnd w:id="1"/>
    <w:p w:rsidR="001536C9" w:rsidRDefault="001536C9" w:rsidP="001536C9">
      <w:pPr>
        <w:pStyle w:val="2"/>
        <w:spacing w:line="400" w:lineRule="exact"/>
        <w:ind w:left="0" w:firstLine="640"/>
      </w:pPr>
    </w:p>
    <w:tbl>
      <w:tblPr>
        <w:tblpPr w:leftFromText="180" w:rightFromText="180" w:vertAnchor="text" w:horzAnchor="page" w:tblpX="909" w:tblpY="51"/>
        <w:tblOverlap w:val="never"/>
        <w:tblW w:w="14942" w:type="dxa"/>
        <w:tblLayout w:type="fixed"/>
        <w:tblLook w:val="04A0"/>
      </w:tblPr>
      <w:tblGrid>
        <w:gridCol w:w="985"/>
        <w:gridCol w:w="534"/>
        <w:gridCol w:w="2140"/>
        <w:gridCol w:w="2055"/>
        <w:gridCol w:w="4350"/>
        <w:gridCol w:w="4878"/>
      </w:tblGrid>
      <w:tr w:rsidR="001536C9" w:rsidTr="00CF6802">
        <w:trPr>
          <w:cantSplit/>
          <w:trHeight w:val="936"/>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6C9" w:rsidRDefault="001536C9"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36C9" w:rsidRDefault="001536C9"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主要任务</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6C9" w:rsidRDefault="001536C9"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责任单位</w:t>
            </w:r>
          </w:p>
        </w:tc>
        <w:tc>
          <w:tcPr>
            <w:tcW w:w="4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6C9" w:rsidRDefault="001536C9"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推进情况</w:t>
            </w:r>
          </w:p>
        </w:tc>
        <w:tc>
          <w:tcPr>
            <w:tcW w:w="4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6C9" w:rsidRDefault="001536C9"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后续举措</w:t>
            </w:r>
          </w:p>
        </w:tc>
      </w:tr>
      <w:tr w:rsidR="001536C9" w:rsidTr="00CF6802">
        <w:trPr>
          <w:cantSplit/>
          <w:trHeight w:val="2750"/>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1</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地区生产总值增长5.7%。</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1-6月份，地区生产总值增长5.7%。</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优化经济运行监测调度机制，做好四上单位数据报送的同时，重点跟进重点企业数据报送情况和规下、限下抽样单位样本情况，强化行业指标支撑。二是联合经济主管部门，紧盯先行指标数据，提前研判经济走势，全力抓好支撑指标，确保完成年度预期目标。</w:t>
            </w:r>
          </w:p>
        </w:tc>
      </w:tr>
      <w:tr w:rsidR="001536C9" w:rsidTr="00CF6802">
        <w:trPr>
          <w:cantSplit/>
          <w:trHeight w:val="267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2</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一般公共预算收入增长3%。</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区财政局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1-6月份，一般公共预算收入完成289715万元，同比下降4.18%。其中，税收收入完成247365万元，税收比重为85.38%。</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强化财税信息共享机制，动态监控财源进出。二是会同税务部门加强欠税管理，分级分类有序清欠。三是加大房地产业、建筑业税收征管力度，会同税务部门协调推进契税征缴工作，推进辖区项目土增清算，实行非税收入动态监控，组织各项非税收入尽快入库。</w:t>
            </w:r>
          </w:p>
        </w:tc>
      </w:tr>
      <w:tr w:rsidR="001536C9" w:rsidTr="00CF6802">
        <w:trPr>
          <w:cantSplit/>
          <w:trHeight w:val="3812"/>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3</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规上工业增加值增长8%。</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spacing w:line="3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1-6月份，全区规模以上工业增加值同比增长17%。</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spacing w:line="3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一是紧抓指标调度完成情况，强化重点企业运行监测服务。二是推进工业入库纳统，跟进对拟入库企业的培育指导。三是持续走访优化对企业的服务，为企业发展赋能。</w:t>
            </w:r>
          </w:p>
        </w:tc>
      </w:tr>
      <w:tr w:rsidR="001536C9" w:rsidTr="00CF6802">
        <w:trPr>
          <w:cantSplit/>
          <w:trHeight w:val="2442"/>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4</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固定资产投资增长5%。</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1-6月份，固定资产投资完成221.88亿元，实现增幅9.7%。</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一是跟进调度在库项目、新入库项目投资情况，深挖潜力项目，锚定投资目标，努力实现预定增幅。二是紧密联系线性工程。</w:t>
            </w:r>
          </w:p>
        </w:tc>
      </w:tr>
      <w:tr w:rsidR="001536C9" w:rsidTr="00CF6802">
        <w:trPr>
          <w:cantSplit/>
          <w:trHeight w:val="256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5</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社会消费品零售总额增长3.5%。</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1-6月份，社会消费品零售总额完成286.3亿元，同比增长0.1％。</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持续强化大宗消费。用好2025年度消费品以旧换新政策，落实好全年汽车促消费活动，持续开展家电等消费品以旧换新“五进”补贴展销活动，持续激发我区消费品市场活力。</w:t>
            </w:r>
          </w:p>
        </w:tc>
      </w:tr>
      <w:tr w:rsidR="001536C9" w:rsidTr="00CF6802">
        <w:trPr>
          <w:cantSplit/>
          <w:trHeight w:val="4050"/>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6</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实际使用外资4500万美元。</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1-6月份，我区实际使用外资指标完成1778.52万美元，占全年4500万美元任务的39.52%。</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加大外资实体项目谋划，积极引进研发型、生产型项目。加大高技术产业等重点领域利用外资，持续优化外资结构。二是进一步规范外资统计，严防“虚假引资”，对两年来减撤资企业重点检查，督促整改。进一步加强与中建国际等优质外资企业合作，从源头上杜绝外资违规风险。</w:t>
            </w:r>
          </w:p>
        </w:tc>
      </w:tr>
      <w:tr w:rsidR="001536C9" w:rsidTr="00CF6802">
        <w:trPr>
          <w:cantSplit/>
          <w:trHeight w:val="458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7</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新增城镇就业1.95万人。</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区人力资源和社会保障局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截至6月底，新增城镇就业1.37万人。</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下一步，区人社局将扎实推进“就业环境友好型城区”建设，常态化开展“四个对接”精准服务专项行动，构建就业友好型发展方式。全力推进创业工作，推进省、市级创业街区建设，推行“创业陪跑”服务模式，用好创业补贴、担保贷款等扶持政策，营造良好创业生态。着力促进重点群体就业，开展离校未就业高校毕业生攻坚行动，兜底帮扶就业困难群体，不断提升就业服务质量。</w:t>
            </w:r>
          </w:p>
        </w:tc>
      </w:tr>
      <w:tr w:rsidR="001536C9" w:rsidTr="00CF6802">
        <w:trPr>
          <w:cantSplit/>
          <w:trHeight w:val="3890"/>
        </w:trPr>
        <w:tc>
          <w:tcPr>
            <w:tcW w:w="985" w:type="dxa"/>
            <w:tcBorders>
              <w:top w:val="single" w:sz="4" w:space="0" w:color="auto"/>
              <w:left w:val="single" w:sz="4" w:space="0" w:color="auto"/>
              <w:bottom w:val="single" w:sz="4" w:space="0" w:color="auto"/>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8</w:t>
            </w:r>
          </w:p>
        </w:tc>
        <w:tc>
          <w:tcPr>
            <w:tcW w:w="534" w:type="dxa"/>
            <w:vMerge w:val="restart"/>
            <w:tcBorders>
              <w:top w:val="single" w:sz="4" w:space="0" w:color="auto"/>
              <w:left w:val="single" w:sz="4" w:space="0" w:color="000000"/>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扩大有效投资</w:t>
            </w: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left"/>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扩大有效投资</w:t>
            </w:r>
          </w:p>
        </w:tc>
        <w:tc>
          <w:tcPr>
            <w:tcW w:w="2140"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新谋划储备优质项目不少于100个</w:t>
            </w:r>
            <w:r>
              <w:rPr>
                <w:rFonts w:ascii="仿宋_GB2312" w:eastAsia="仿宋_GB2312" w:hAnsi="仿宋_GB2312" w:cs="仿宋_GB2312" w:hint="eastAsia"/>
                <w:kern w:val="0"/>
                <w:sz w:val="28"/>
                <w:szCs w:val="28"/>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上半年共谋划储备项目117个，总投资559.63亿元，其中重点产业类项目88个，总投资394.02亿元，数量占比75.21%。</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聚焦产业体系谋项目，围绕342产业体系、市四大产业专班、区六大产业专班，分领域、常态化、滚动式开展项目研究、策划与储备工作。二是聚焦政策导向谋项目。强化招商引资与项目谋划联动，实现签约与投资落地同步推进。目前已实现谋划储备项目库和招商引资库两库联通。</w:t>
            </w:r>
          </w:p>
        </w:tc>
      </w:tr>
      <w:tr w:rsidR="001536C9" w:rsidTr="00CF6802">
        <w:trPr>
          <w:cantSplit/>
          <w:trHeight w:val="4461"/>
        </w:trPr>
        <w:tc>
          <w:tcPr>
            <w:tcW w:w="985" w:type="dxa"/>
            <w:tcBorders>
              <w:top w:val="single" w:sz="4" w:space="0" w:color="auto"/>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9</w:t>
            </w:r>
          </w:p>
        </w:tc>
        <w:tc>
          <w:tcPr>
            <w:tcW w:w="534" w:type="dxa"/>
            <w:vMerge/>
            <w:tcBorders>
              <w:top w:val="single" w:sz="4" w:space="0" w:color="auto"/>
              <w:left w:val="single" w:sz="4" w:space="0" w:color="000000"/>
              <w:bottom w:val="single" w:sz="4" w:space="0" w:color="000000"/>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争取政策性资金额度50亿元以上。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区财政局</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区城投集团</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上半年我区完成专项债券需求库入库项目19个，总投资373.06亿元，专项债券资金需求17.99亿元，发行专项债券13个，共计9.86亿元。上报土地储备专项债券项目4个，债券资金需求共计25.37亿元。</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继续加大专项债券额度争取力度。二是加强政策研究与培训赋能。定期组织大范围培训会促进政策信息共享，以专题座谈会总结形成问题清单与正面案例，并邀请先进部门分享项目谋划经验。三是强化项目储备质量与统筹整合。围绕人工智能、空天信息等重点领域建立分级分类的动态项目库，依托四大产业专班协同推进谋划与资金争取，鼓励“小而散”项目打包申报以提升区域收益平衡能力。</w:t>
            </w:r>
          </w:p>
        </w:tc>
      </w:tr>
      <w:tr w:rsidR="001536C9" w:rsidTr="00CF6802">
        <w:trPr>
          <w:cantSplit/>
          <w:trHeight w:val="390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10</w:t>
            </w:r>
          </w:p>
        </w:tc>
        <w:tc>
          <w:tcPr>
            <w:tcW w:w="534" w:type="dxa"/>
            <w:vMerge/>
            <w:tcBorders>
              <w:top w:val="single" w:sz="4" w:space="0" w:color="000000"/>
              <w:left w:val="single" w:sz="4" w:space="0" w:color="000000"/>
              <w:bottom w:val="single" w:sz="4" w:space="0" w:color="000000"/>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签约过亿元项目30个以上。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济南槐荫经济开发区管委会</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济南西站枢纽经济商务区</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上半年，全区签约入库济南产发民生集成电路基金、济南国际医学中心医发引导基金、耀硕新能源等1亿元以上项目13个。 </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持续跟进济南产发民生集成电路基金项目对力冠微电子、山东联盛电子、苏州工研拓芯项目等项目进行研判，力争项目投资落地。二是持续服务强脑科技、迈瑞医疗等市主要领导关注项目，推动项目尽快形成投资实效。三是配合好全区重点项目推进专班，策划提升融通农发军民融合现代产业园项目产业规划，紧密衔接全区产业布局。</w:t>
            </w:r>
          </w:p>
        </w:tc>
      </w:tr>
      <w:tr w:rsidR="001536C9" w:rsidTr="00CF6802">
        <w:trPr>
          <w:cantSplit/>
          <w:trHeight w:val="4520"/>
        </w:trPr>
        <w:tc>
          <w:tcPr>
            <w:tcW w:w="985" w:type="dxa"/>
            <w:tcBorders>
              <w:top w:val="single" w:sz="4" w:space="0" w:color="000000"/>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11</w:t>
            </w:r>
          </w:p>
        </w:tc>
        <w:tc>
          <w:tcPr>
            <w:tcW w:w="534" w:type="dxa"/>
            <w:vMerge/>
            <w:tcBorders>
              <w:top w:val="single" w:sz="4" w:space="0" w:color="000000"/>
              <w:left w:val="single" w:sz="4" w:space="0" w:color="000000"/>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统筹推进总投资3017亿元的216个重点项目（续建项目建设114个；新建项目52个，储备项目50个）。</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216个重点项目年度计划投资 174.89亿元，1-6月完成投资126.61亿元，投资完成率72%，经十一路A-2地块、保利天禧地块B、淄博路A-1地块、市立五院片区智慧停车场建设等项目投资率较高。52个新建项目已开工18个，开工率34.62%，其中西客站中央公园北侧地块A建设项目、济南二机床生产自动化提升项目、济南精准医学产业园地块一等8个项目已入库纳统。</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是紧盯靠上做好服务保障，加强对在库问题项目和新复工项目的现场调度和跟踪督导，台账化、清单化推动问题及早解决项目加快建设。二是加快项目入库纳统，督促项目单位抢抓工期，尽快形成更多实物工作量，并加强手续办理工作指导，紧盯山东省第二人民医院门诊病房综合楼建设、山东国际会展中心二期等新开工项目，确保应纳尽纳。</w:t>
            </w:r>
          </w:p>
        </w:tc>
      </w:tr>
      <w:tr w:rsidR="001536C9" w:rsidTr="00CF6802">
        <w:trPr>
          <w:cantSplit/>
          <w:trHeight w:val="3585"/>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12</w:t>
            </w:r>
          </w:p>
        </w:tc>
        <w:tc>
          <w:tcPr>
            <w:tcW w:w="534" w:type="dxa"/>
            <w:vMerge w:val="restart"/>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提振消费市场</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提振消费市场</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持续打造“经十西路汽车产业带”，新引入优质汽车品牌5家以上。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前期在售的济南比亚迪方程豹销售中心项目、极氪家新能源项目、后周汽车产业园项目、山东世通汽车城有限公司汽车主题综合体大福MALL项目稳步推进，大友集团新投资奇瑞捷途纵横汽车4S店项目目前已开始装修。</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全力推进2025年各级汽车以旧换新政策的高效落实，精准聚焦方程豹、极氪家、奇瑞捷途等汽车4S店在手项目，加速推动重点合作项目的落地实施。</w:t>
            </w:r>
          </w:p>
        </w:tc>
      </w:tr>
      <w:tr w:rsidR="001536C9" w:rsidTr="00CF6802">
        <w:trPr>
          <w:cantSplit/>
          <w:trHeight w:val="5260"/>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13</w:t>
            </w:r>
          </w:p>
        </w:tc>
        <w:tc>
          <w:tcPr>
            <w:tcW w:w="534" w:type="dxa"/>
            <w:vMerge/>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服务保障亚洲餐饮展、中国茶叶博览会等重点展会以及中国国际儿童电影展、2025音乐剧盛典等演艺活动，加快推进商文旅展“流量型”消费融合发展。</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区商务局</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区文化和旅游局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举办“山东国际装备制造业博览会”“中国（济南）国际太阳能利用大会”“齐鲁春季车展”“第三届高层次人才招引大会”“北京宠物医师大会”等各类展会活动47场，推出最槐荫贺年会、清明踏青季、五一体验汇等主题活动260余场，保利剧院承办中国音乐剧协会盛典，推进济南茶文化主题街区提升改造项目，携方特、印象济南等重点文旅企业亮相郑州专题推介活动，举办2025年广场艺文·市集活动开幕式，打造“场景+非遗”消费新体验、休闲新选择。</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重点做好下半年全国汽配会、中国高端酒展、医学人工智能大会、中华医学会学术会议等30余场展会活动服务保障工作。逐步完善文旅基本消费、文旅情绪消费、文旅情感消费产品供给结构，引导推动印象济南等景区引入VR、AR、MR新消费项目，加速方特科技产品迭代。借“京沪文旅+联盟”开展营销、推介等活动，继续策划国庆中秋等节事活动。助力打造济南茶文化主题街区，推进三街六园改造等，构建茶产业链。依托老商埠等资源，打造1904商埠等特色街区,提振全域文旅流量消费。</w:t>
            </w:r>
          </w:p>
        </w:tc>
      </w:tr>
      <w:tr w:rsidR="001536C9" w:rsidTr="00CF6802">
        <w:trPr>
          <w:cantSplit/>
          <w:trHeight w:val="906"/>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14</w:t>
            </w:r>
          </w:p>
        </w:tc>
        <w:tc>
          <w:tcPr>
            <w:tcW w:w="534" w:type="dxa"/>
            <w:vMerge/>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auto"/>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持续打造“这里最槐荫”文旅品牌。</w:t>
            </w:r>
          </w:p>
        </w:tc>
        <w:tc>
          <w:tcPr>
            <w:tcW w:w="2055"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区文化和旅游局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策划“春风十里”等节事主题活动260余场，设计制作“最槐荫・文旅有意思”旅游纪念币、槐荫文旅手绘地图，策划“夏美其美 槐荫你好”等节事主题宣传，制作宣传视频80余篇、微信公众号原创推文近百篇，浏览量超过100万次。启动2025年广场艺文·市集系列活动，开展“悦读西城”品牌活动175场、非遗主题活动60余场等文化惠民活动，开埠博物馆开馆半月突破2万参观人次，持续打造青春、活力的槐荫城市形象。</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继续策划“京沪文旅+”城市旅游营销、旅游推介等活动,持续打造济南茶文化主题街区，包装策划1904商埠文化主题街区等多点齐开打造文旅特色主题街区。搭建校地共建平台，定期组织高校学子参与文艺创作、文化调研等活动，激发青年宣传槐荫文旅内生动力。增加“悦读西城”全民阅读活动频次和形式，组织非遗传承人走进校园、社区开展技艺传授活动，培养非遗传承后备力量，推动文旅品牌影响力持续提升。</w:t>
            </w:r>
          </w:p>
        </w:tc>
      </w:tr>
      <w:tr w:rsidR="001536C9" w:rsidTr="00CF6802">
        <w:trPr>
          <w:cantSplit/>
          <w:trHeight w:val="3720"/>
        </w:trPr>
        <w:tc>
          <w:tcPr>
            <w:tcW w:w="985" w:type="dxa"/>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15</w:t>
            </w:r>
          </w:p>
        </w:tc>
        <w:tc>
          <w:tcPr>
            <w:tcW w:w="534" w:type="dxa"/>
            <w:vMerge/>
            <w:tcBorders>
              <w:top w:val="single" w:sz="4" w:space="0" w:color="auto"/>
              <w:left w:val="single" w:sz="4" w:space="0" w:color="000000"/>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不断优化“会议酒店联盟”商业运作模式，支持承接各类学术会议500场以上。</w:t>
            </w:r>
          </w:p>
        </w:tc>
        <w:tc>
          <w:tcPr>
            <w:tcW w:w="2055" w:type="dxa"/>
            <w:tcBorders>
              <w:top w:val="single" w:sz="4" w:space="0" w:color="000000"/>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服务保障2025山东省外贸优品购物季各参展商入驻，上半年承接各类会议300余场。</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继续加大会议酒店联盟宣传力度，用好各类展会、会议，积极向会议酒店联盟进行推介。及时收集、整合酒店优惠信息，加强与会展中心的沟通对接，做好各类办会服务保障工作。</w:t>
            </w:r>
          </w:p>
        </w:tc>
      </w:tr>
      <w:tr w:rsidR="001536C9" w:rsidTr="00CF6802">
        <w:trPr>
          <w:cantSplit/>
          <w:trHeight w:val="4507"/>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16</w:t>
            </w:r>
          </w:p>
        </w:tc>
        <w:tc>
          <w:tcPr>
            <w:tcW w:w="534" w:type="dxa"/>
            <w:vMerge w:val="restart"/>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发展新质生产力</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发展新质生产力</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发展新质生产力</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支持天岳先进争创全国重点实验室，支持微生态生物医学省实验室等高能级平台提升创新能力，加力取得一批科技成果。</w:t>
            </w:r>
          </w:p>
        </w:tc>
        <w:tc>
          <w:tcPr>
            <w:tcW w:w="205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区科技局</w:t>
            </w:r>
          </w:p>
        </w:tc>
        <w:tc>
          <w:tcPr>
            <w:tcW w:w="4350" w:type="dxa"/>
            <w:tcBorders>
              <w:top w:val="single" w:sz="4" w:space="0" w:color="000000"/>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全力推进济南微生态生物医学省实验室建设，目前实验室已搬至主体科研楼，实验室团队总规模近400人，承担国家及省级科研项目23项，启动自主立项科研项目73项，发表高水平论文370余篇，申请发明专利56项。同时，完善了实验室生物安全管理制度以及运行检查，推动动物中心和GMP车间的建设，参与多场转化路演，推介多项重点技术成果论文答辩。</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持续推进高端载体建设，不断做好重点实验室等科技平台的建设工作，以行业领军企业为重点，积极与二机床、天岳等企业对接，着重跟进碳化硅材料和微生态生物医学省级实验室建设情况，指导微生态申报省自然基金项目等科技项目，助力实验室产出更多科技成果。</w:t>
            </w:r>
          </w:p>
        </w:tc>
      </w:tr>
      <w:tr w:rsidR="001536C9" w:rsidTr="00CF6802">
        <w:trPr>
          <w:cantSplit/>
          <w:trHeight w:val="4002"/>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17</w:t>
            </w:r>
          </w:p>
        </w:tc>
        <w:tc>
          <w:tcPr>
            <w:tcW w:w="534" w:type="dxa"/>
            <w:vMerge/>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b/>
                <w:sz w:val="28"/>
                <w:szCs w:val="28"/>
              </w:rPr>
            </w:pPr>
          </w:p>
        </w:tc>
        <w:tc>
          <w:tcPr>
            <w:tcW w:w="2140" w:type="dxa"/>
            <w:tcBorders>
              <w:top w:val="single" w:sz="4" w:space="0" w:color="auto"/>
              <w:left w:val="single" w:sz="4" w:space="0" w:color="auto"/>
              <w:bottom w:val="single" w:sz="4" w:space="0" w:color="000000"/>
              <w:right w:val="single" w:sz="4" w:space="0" w:color="000000"/>
            </w:tcBorders>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新培育高新技术企业20家以上。</w:t>
            </w:r>
          </w:p>
        </w:tc>
        <w:tc>
          <w:tcPr>
            <w:tcW w:w="2055" w:type="dxa"/>
            <w:tcBorders>
              <w:top w:val="single" w:sz="4" w:space="0" w:color="auto"/>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区科技局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聘请4位大学教授及政和科技股份有限公司对85家申报企业中涉及的知识产权、研发组织管理水平、成果转化能力、涉及财务账目等内容进行审核并严格把关，提出修改和完善意见。目前，已推荐第一批25家高新技术企业，正在审核第二批申报企业。</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1536C9" w:rsidTr="00CF6802">
        <w:trPr>
          <w:cantSplit/>
          <w:trHeight w:val="90"/>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18</w:t>
            </w:r>
          </w:p>
        </w:tc>
        <w:tc>
          <w:tcPr>
            <w:tcW w:w="534" w:type="dxa"/>
            <w:vMerge/>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加快推进济南先进材料智造港等重点项目竣工投产，支持力冠微电子、晶芯半导体等企业增产扩能。</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济南先进材料智造港项目（一期）生产厂房及固废站、危废站等配套建筑已全部施工完成，6月27日已完成项目单体竣工验收，首批100台设备已经全部完成安装生产调试；力冠微电子等项目拟选址地块完成拆迁，片区控规方案已完成社会公示和专家评审，正在编制土地征收成片开发方案；晶芯半导体目前正在推进融资工作，场地已完成选址。</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一是继续加快济南先进材料智造港项目（一期）建设工程收尾；二是加快力冠微电子等企业增产扩能项目尽快落地；三是紧盯晶芯融资进程，加快落地。</w:t>
            </w:r>
          </w:p>
        </w:tc>
      </w:tr>
      <w:tr w:rsidR="001536C9" w:rsidTr="00CF6802">
        <w:trPr>
          <w:cantSplit/>
          <w:trHeight w:val="4965"/>
        </w:trPr>
        <w:tc>
          <w:tcPr>
            <w:tcW w:w="985" w:type="dxa"/>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19</w:t>
            </w:r>
          </w:p>
        </w:tc>
        <w:tc>
          <w:tcPr>
            <w:tcW w:w="534" w:type="dxa"/>
            <w:vMerge/>
            <w:tcBorders>
              <w:top w:val="single" w:sz="4" w:space="0" w:color="auto"/>
              <w:left w:val="single" w:sz="4" w:space="0" w:color="auto"/>
              <w:bottom w:val="single" w:sz="4" w:space="0" w:color="auto"/>
              <w:right w:val="single" w:sz="4" w:space="0" w:color="auto"/>
            </w:tcBorders>
            <w:vAlign w:val="center"/>
          </w:tcPr>
          <w:p w:rsidR="001536C9" w:rsidRDefault="001536C9" w:rsidP="00CF6802">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放大集成电路子基金、开发区“基金联盟”等创投资源优势，深耕碳化硅、氮化镓等半导体材料</w:t>
            </w:r>
            <w:r>
              <w:rPr>
                <w:rFonts w:ascii="仿宋_GB2312" w:eastAsia="仿宋_GB2312" w:hAnsi="仿宋_GB2312" w:cs="仿宋_GB2312" w:hint="eastAsia"/>
                <w:sz w:val="28"/>
                <w:szCs w:val="28"/>
              </w:rPr>
              <w:t>延链补链，大力招引上下游配套企业，定向储备优质项目20个以上，打造行业领先的第三代半导体产业集群。</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深化与市集成电路母基金战略协同，联合市产发、国联民生证券、槐荫城投，推动槐荫区集成电路产业基金尽快实现首投，三方已多次对接，筛选储备项目10余个，并选出中科迪宏、力冠微电子、联盛半导体、工研拓芯4个项目优先推进。上半年定向储备苏州工研拓芯、青岛芯笙纳微传感器等优质项目25个，力促福瑞斯动力系统产品研发及应用、格瑞半导体芯片测试设备研发生产项目等7个半导体项目签约、落地。</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kern w:val="0"/>
                <w:sz w:val="28"/>
                <w:szCs w:val="28"/>
                <w:lang/>
              </w:rPr>
              <w:t>实施新兴产业跨越提升行动，围绕新一代信息技术、新材料、人工智能等新兴产业领域，加大项目招引力度，力争全年定向储备优质项目40个以上，签约落地半导体产业项目7个以上。</w:t>
            </w:r>
            <w:r>
              <w:rPr>
                <w:rFonts w:ascii="仿宋_GB2312" w:eastAsia="仿宋_GB2312" w:hAnsi="仿宋_GB2312" w:cs="仿宋_GB2312" w:hint="eastAsia"/>
                <w:sz w:val="28"/>
                <w:szCs w:val="28"/>
              </w:rPr>
              <w:t>广泛对接产业资本，精准测算中科迪宏工业AI、工研拓芯集成电路等在谈项目融资需求，根据市产发集团和民生证券集成电路子基金筹备情况，科学把握工作节奏，尽快争取市产发、民生证券、槐荫城投三方实投，同步实现项目首投。</w:t>
            </w:r>
          </w:p>
        </w:tc>
      </w:tr>
      <w:tr w:rsidR="001536C9" w:rsidTr="00CF6802">
        <w:trPr>
          <w:cantSplit/>
          <w:trHeight w:val="4954"/>
        </w:trPr>
        <w:tc>
          <w:tcPr>
            <w:tcW w:w="985" w:type="dxa"/>
            <w:tcBorders>
              <w:top w:val="single" w:sz="4" w:space="0" w:color="auto"/>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20</w:t>
            </w:r>
          </w:p>
        </w:tc>
        <w:tc>
          <w:tcPr>
            <w:tcW w:w="534" w:type="dxa"/>
            <w:vMerge/>
            <w:tcBorders>
              <w:top w:val="single" w:sz="4" w:space="0" w:color="auto"/>
              <w:left w:val="single" w:sz="4" w:space="0" w:color="000000"/>
              <w:right w:val="single" w:sz="4" w:space="0" w:color="auto"/>
            </w:tcBorders>
            <w:vAlign w:val="center"/>
          </w:tcPr>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注重招引培育智能制造配套企业，储备优质项目10个以上。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lang/>
              </w:rPr>
            </w:pPr>
            <w:r>
              <w:rPr>
                <w:rFonts w:ascii="仿宋_GB2312" w:eastAsia="仿宋_GB2312" w:hAnsi="仿宋_GB2312" w:cs="仿宋_GB2312" w:hint="eastAsia"/>
                <w:kern w:val="0"/>
                <w:sz w:val="28"/>
                <w:szCs w:val="28"/>
                <w:lang/>
              </w:rPr>
              <w:t>截至目前，招引储备天岳碳化硅材料产业化项目、槐荫数控智能设备产业园项目、山东福瑞斯济南基地项目、耀硕新能源储能项目、山东力冠微电子半导体设备二期生产基地项目、深圳佰创电子封装测试项目、山东用新电子科技有限公司等7个智能制造配套企业项目。</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sz w:val="28"/>
                <w:szCs w:val="28"/>
                <w:lang/>
              </w:rPr>
            </w:pPr>
            <w:r>
              <w:rPr>
                <w:rFonts w:ascii="仿宋_GB2312" w:eastAsia="仿宋_GB2312" w:hAnsi="仿宋_GB2312" w:cs="仿宋_GB2312" w:hint="eastAsia"/>
                <w:kern w:val="0"/>
                <w:sz w:val="28"/>
                <w:szCs w:val="28"/>
                <w:lang/>
              </w:rPr>
              <w:t>充分发挥1+3+9+X招商体系机制作用，持续对接项目公司，了解企业融资、厂房及人才补贴、科技研发和业务支持等落地诉求，同时介绍我区优势以及产业扶持政策等，积极推进项目注册落地、投产经营。</w:t>
            </w:r>
          </w:p>
        </w:tc>
      </w:tr>
      <w:tr w:rsidR="001536C9" w:rsidTr="00CF6802">
        <w:trPr>
          <w:cantSplit/>
          <w:trHeight w:val="3548"/>
        </w:trPr>
        <w:tc>
          <w:tcPr>
            <w:tcW w:w="985" w:type="dxa"/>
            <w:tcBorders>
              <w:top w:val="single" w:sz="4" w:space="0" w:color="000000"/>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21</w:t>
            </w:r>
          </w:p>
        </w:tc>
        <w:tc>
          <w:tcPr>
            <w:tcW w:w="534" w:type="dxa"/>
            <w:vMerge/>
            <w:tcBorders>
              <w:left w:val="single" w:sz="4" w:space="0" w:color="000000"/>
              <w:bottom w:val="single" w:sz="4" w:space="0" w:color="auto"/>
              <w:right w:val="single" w:sz="4" w:space="0" w:color="auto"/>
            </w:tcBorders>
            <w:vAlign w:val="center"/>
          </w:tcPr>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b/>
                <w:bCs/>
                <w:sz w:val="28"/>
                <w:szCs w:val="28"/>
              </w:rPr>
            </w:pPr>
          </w:p>
        </w:tc>
        <w:tc>
          <w:tcPr>
            <w:tcW w:w="2140" w:type="dxa"/>
            <w:tcBorders>
              <w:top w:val="single" w:sz="4" w:space="0" w:color="000000"/>
              <w:left w:val="single" w:sz="4" w:space="0" w:color="auto"/>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实施创新型企业梯度培育计划，新培育独角兽、瞪羚、专精特新等企业50家以上。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1-6月，新培育31家创新型中小企业，获批省级专精特新企业40家。</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持续构建分层培育，动态跟踪成长指标，加速企业梯度跃升。</w:t>
            </w:r>
          </w:p>
        </w:tc>
      </w:tr>
      <w:tr w:rsidR="001536C9" w:rsidTr="00CF6802">
        <w:trPr>
          <w:cantSplit/>
          <w:trHeight w:val="4738"/>
        </w:trPr>
        <w:tc>
          <w:tcPr>
            <w:tcW w:w="985" w:type="dxa"/>
            <w:tcBorders>
              <w:top w:val="single" w:sz="4" w:space="0" w:color="auto"/>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22</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全面深化改革</w:t>
            </w: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全面深化改革</w:t>
            </w: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left"/>
              <w:textAlignment w:val="center"/>
              <w:rPr>
                <w:rFonts w:ascii="仿宋_GB2312" w:eastAsia="仿宋_GB2312" w:hAnsi="仿宋_GB2312" w:cs="仿宋_GB2312"/>
                <w:sz w:val="28"/>
                <w:szCs w:val="28"/>
              </w:rPr>
            </w:pPr>
          </w:p>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lastRenderedPageBreak/>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深化农村“三变”改革，加强农村“三资”数字化管理，配合组织部做好年收入50万元以上村相关统计工作。</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区农业农村局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聚焦提级巡察发现的57个问题和历年审计发现问题，制定5个规范性文件，街道已完成31个问题的整改。以村级合同监管为“小切口”，对全区3820份合同专项审计，截至目前，疑似有问题合同322份，向区纪委移交3条线索。实施村集体清产核资，对全区101个村居的“三资”报表（每个村34张）进行审核，采用召开调度会、现场抽查、下发提醒函等方式，压实街道、村“两委”工作责任。</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变”改革力争三季度完成21个村的市级验收。针对农村“三资”管理、乡村振兴资金监管等问题，采用行业检查、联动抽查、审计、个案侦办等多种手段，加强排查，深挖细扣，全面推动问题清仓见底。坚持清单式监督，对发现的问题，逐一建立台账，明确责任人，跟踪整改到位。对思想认识不到位、落实制度不严格、问题多发频发等情况，采用通报、发送督办函、向纪委移交线索等方式，全面压实责任。</w:t>
            </w:r>
          </w:p>
        </w:tc>
      </w:tr>
      <w:tr w:rsidR="001536C9" w:rsidTr="00CF6802">
        <w:trPr>
          <w:cantSplit/>
          <w:trHeight w:val="2944"/>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23</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优化“槐小花”“企业大事一体办”等特色服务，推动“高效办成一件事”提质增效。</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区行政审批服务局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优化茶产业“一件事”流程，扩展跨域合作至多地，强化服务专员队伍建设。完成多批次“一件事”自测评估，牵头开展宣传月活动，与多地签署合作协议，建立动态题库并组织考试，优化服务专区和宣传形式。</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常态化开展“我陪群众走流程”，排查问题优化流程；拓展茶产业合作“朋友圈”，深化跨域通办；持续完善工作机制，创新服务方式，提升“高效办成一件事”改革成效，为企业群众提供更优质服务。</w:t>
            </w:r>
          </w:p>
        </w:tc>
      </w:tr>
      <w:tr w:rsidR="001536C9" w:rsidTr="00CF6802">
        <w:trPr>
          <w:cantSplit/>
          <w:trHeight w:val="1533"/>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24</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提升社会治理智慧化水平，全区智慧社区达到40家。</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区大数据局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为各街道各社区工作人员开通区一体化大数据平台账号，全区智慧社区已建设完成36个，在建5个。</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下一步将详细对照建设指标，奖补工作成绩突出的街道社区，扩大智慧社区建设范围，切实做好工作落实，完成好标准动作，争创特色亮点，确保完成建设任务。</w:t>
            </w:r>
          </w:p>
        </w:tc>
      </w:tr>
      <w:tr w:rsidR="001536C9" w:rsidTr="00CF6802">
        <w:trPr>
          <w:cantSplit/>
          <w:trHeight w:val="3950"/>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25</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服务保障京台高速、轨道交通、腊山河西路北延等工程，完成腊山河西路南延道路建设，加快完善通达四方、连接内外的路网体系。</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区水务局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京台高速改扩建项目全线已进场施工。二是按时完成轨道集团下达的轨道交通4、6号线房屋征收、土地收储、临时用地租用（延期）等任务，现4、6号线所有站点、车站、区间均已正常进场施工。三是腊山河西路南延工程已完成雨水管道962米，路灯照明管道471米，水稳基层摊铺8478平方米，非机动车道中粒沥青摊铺281米，路沿石安装2500米。目前正在进行快车道水稳基层清理工作。四是腊山河西路北延工程已完成西侧路缘石安装、靠背浇筑80%，交通、照明检查井及基础施工。主墩工程桩试验检测10根，自开工以来累计29根；完成主墩桩基55根，防桩设计76根，止水帷幕设计708根。</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配合建设单位和施工单位做好京台高速改扩建项目后续工作。二是根据轨道集团用地计划，配合其完成国有土地收储，临时用地续租（归还）等相关工作。三是加大腊山河西路北延、腊山河西路南延工程施工调度力度，督促施工单位尽快完成全线施工实现通车。</w:t>
            </w:r>
          </w:p>
        </w:tc>
      </w:tr>
      <w:tr w:rsidR="001536C9" w:rsidTr="00CF6802">
        <w:trPr>
          <w:cantSplit/>
          <w:trHeight w:val="3007"/>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26</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新建共建公园游园3处、绿道5公里、创意微景观10处，有机串联公园、山体等城市绿色空间。</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区园林绿化服务中心</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推进“共建花园”建设活动，第一处阳光100k区共建花园建设完成并开园，第二处“共建花园”在营市街街道绿园社区正式开工建设。5公里绿道基本建设完成，持续提升绿道环线品质。共布置花卉主题景点11处，容器花卉47个，应用花卉近15万盆，完成创意微景观3处。</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利用花园空间开展不同类型、不同特色的志愿活动，打造特色社会治理品牌。二是加快驿站、座椅等基础设施建设，使腊山河周边景观及管理服务水平得到全面提升。三是不断提升辖区绿化品质，在辖区主干道、公园、广场等根据不同花卉色彩搭配和新颖造型需求，设计花坛种植方案。</w:t>
            </w:r>
          </w:p>
        </w:tc>
      </w:tr>
      <w:tr w:rsidR="001536C9" w:rsidTr="00CF6802">
        <w:trPr>
          <w:cantSplit/>
          <w:trHeight w:val="4653"/>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27</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p w:rsidR="001536C9" w:rsidRDefault="001536C9" w:rsidP="00CF6802">
            <w:pPr>
              <w:widowControl/>
              <w:adjustRightInd w:val="0"/>
              <w:snapToGrid w:val="0"/>
              <w:spacing w:line="360" w:lineRule="exact"/>
              <w:jc w:val="center"/>
              <w:textAlignment w:val="center"/>
              <w:rPr>
                <w:rFonts w:ascii="楷体_GB2312" w:eastAsia="楷体_GB2312" w:hAnsi="楷体_GB2312" w:cs="楷体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落实高校毕业生“启航扬帆”计划，做好特色招聘、职业指导、培训见习等就业服务。</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区人力资源社会保障局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上半年，开展高校毕业生就业援助工作，开发大学生就业援助岗位244个。举办寒假“高校学子看家乡”活动、开展春季双选会招聘活动，624家企业参会，提供岗位1.67万个。持续开展送政策服务，前往乾泰大厦、山东厚稷、福仁美、中电建、美利亚、温德姆等十余家单位宣讲就业见习政策，派出工作人员40余人次，现场指导企业就业见习岗位开发流程。</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区人社局将聚焦高校毕业生就业，切实在强化高校毕业生就业服务上下功夫。持续开展高校毕业生特色招聘活动；结合“人社惠企直通车”人社政策宣讲，开展公共就业服务进校园活动。同时，深入辖区企业广泛开展就业见习政策宣讲，持续推动政策宣传、招聘服务、就业指导、创业服务、职业培训等“进校园”“进企业”，广泛提升政策服务知晓度。</w:t>
            </w:r>
          </w:p>
        </w:tc>
      </w:tr>
      <w:tr w:rsidR="001536C9" w:rsidTr="00CF6802">
        <w:trPr>
          <w:cantSplit/>
          <w:trHeight w:val="3453"/>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28</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持续扩增教育资源，新建君悦首府幼儿园等5处教育设施，新增学位1710个。</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区教育和体育局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君悦首府幼儿园、青岛路以北X地块幼儿园2处教育设施教学楼完工，正在进行室外工程施工；腊山河西路东侧X-1地块幼儿园、西沙王庄城中村改造项目X-1地块幼儿园2处幼儿园教学楼主体已完工，正在进行内外装饰施工；海信时代城15班幼儿园正在主体施工。</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积极协助代建单位办理项目建设手续，督促代建单位在保障安全和质量的前提下加快施工进度，确保完成各项建设和开工任务，做好教育设施的对接接收工作。</w:t>
            </w:r>
          </w:p>
        </w:tc>
      </w:tr>
      <w:tr w:rsidR="001536C9" w:rsidTr="00CF6802">
        <w:trPr>
          <w:cantSplit/>
          <w:trHeight w:val="403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29</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建设区劳动教育研学基地，打造一批劳动教育优质课程资源。</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区教育和体育局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区级劳动教育基地双龙湾项目正在进行施工建设。区教体局联合街道办事处、项目单位召开2次专题研讨会，组织学科教研员和部分学校教师深入现场进行调研，研学路线、实践项目和相关课程已形成初步方案。</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进一步推进项目建设进度，完善劳动教育课程资源建设。</w:t>
            </w:r>
          </w:p>
        </w:tc>
      </w:tr>
      <w:tr w:rsidR="001536C9" w:rsidTr="00CF6802">
        <w:trPr>
          <w:cantSplit/>
          <w:trHeight w:val="8466"/>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30</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深化“互联网+养老”模式，</w:t>
            </w:r>
            <w:r>
              <w:rPr>
                <w:rFonts w:ascii="仿宋_GB2312" w:eastAsia="仿宋_GB2312" w:hAnsi="仿宋_GB2312" w:cs="仿宋_GB2312" w:hint="eastAsia"/>
                <w:sz w:val="28"/>
                <w:szCs w:val="28"/>
              </w:rPr>
              <w:t>新建4家养老服务机构、</w:t>
            </w:r>
            <w:r>
              <w:rPr>
                <w:rFonts w:ascii="仿宋_GB2312" w:eastAsia="仿宋_GB2312" w:hAnsi="仿宋_GB2312" w:cs="仿宋_GB2312" w:hint="eastAsia"/>
                <w:bCs/>
                <w:sz w:val="28"/>
                <w:szCs w:val="28"/>
              </w:rPr>
              <w:t>1处银发经济综合体。</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区民政局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19家养老机构、92 家养老服务设施已续签智慧监控设备，各类安全预警和监管设备正常运营，提高监管智慧化水平效率。4处新建小区配套养老服务机构已移交，其中3家已完成第三方运营管理招标，第三方正在进行改造装修。与国家发展改革委社会发展研究所就槐荫区银发经济发展规划方面建立合作关系，签订合同。7月2日—4日国家发展改革委社会发展研究所到槐荫区开展银发经济专题调研，为编制《济南市槐荫区“十五五”银发经济发展规划》提供支撑。</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下一步，将继续深化健全“互联网+养老”综合监管机制。加快推进3处养老服务机构改造装修进度，尽快进行另外1处养老服务机构的委托运营。加强与专家团队交流合作，研究确定全区银发经济产业发展规划。</w:t>
            </w:r>
          </w:p>
        </w:tc>
      </w:tr>
      <w:tr w:rsidR="001536C9" w:rsidTr="00CF6802">
        <w:trPr>
          <w:cantSplit/>
          <w:trHeight w:val="5585"/>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31</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推进“健康槐荫”</w:t>
            </w:r>
            <w:r>
              <w:rPr>
                <w:rFonts w:ascii="仿宋_GB2312" w:eastAsia="仿宋_GB2312" w:hAnsi="仿宋_GB2312" w:cs="仿宋_GB2312" w:hint="eastAsia"/>
                <w:bCs/>
                <w:sz w:val="28"/>
                <w:szCs w:val="28"/>
              </w:rPr>
              <w:t>行动</w:t>
            </w:r>
            <w:r>
              <w:rPr>
                <w:rFonts w:ascii="仿宋_GB2312" w:eastAsia="仿宋_GB2312" w:hAnsi="仿宋_GB2312" w:cs="仿宋_GB2312" w:hint="eastAsia"/>
                <w:sz w:val="28"/>
                <w:szCs w:val="28"/>
              </w:rPr>
              <w:t>，提升改造20家村卫生室，推动槐荫人民医院实现创新高质量发展。</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区卫生健康局</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展第37个爱国卫生月活动、第38个世界无烟日宣传活动，夏季病媒生物防制工作及业务培训，组织在校大学生开展病媒生物防制微视频征集活动；对20家村卫生室开展4轮督导检查，12家村卫生室已全部完成提升改造并通过区级初步验收，等待省、市专家组现场验收；槐荫人民医院急诊综合楼完成审批投入使用，上半年出院患者手术占比48.7%，同比增长3.2%，三级手术占比19.51%，同比增长7%，微创手术占比6%，环比增长2.4%，平均住院日6.48天，同比缩短0.9天。</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围绕健康槐荫18项行动，强化病媒生物防制力度，加大控烟、禁烟宣传范围，减少烟草危害人群数量，组织人员参加“爱卫新征程，健康我先行”知识竞赛；二是推动已完成改造的村卫生室顺利通过验收，抓好下半年需提升改造的村卫生室的改造进度，争取11月底前完成20家村卫生室提升改造任务；三是协调槐荫人民医院各科室，保证急诊综合楼顺利运营，进一步推进其与中国人民解放军总医院第七医学中心紧密性合作，健全科室建设，发挥知名专家入驻优势。</w:t>
            </w:r>
          </w:p>
        </w:tc>
      </w:tr>
      <w:tr w:rsidR="001536C9" w:rsidTr="00CF6802">
        <w:trPr>
          <w:cantSplit/>
          <w:trHeight w:val="3090"/>
        </w:trPr>
        <w:tc>
          <w:tcPr>
            <w:tcW w:w="98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32</w:t>
            </w:r>
          </w:p>
        </w:tc>
        <w:tc>
          <w:tcPr>
            <w:tcW w:w="534" w:type="dxa"/>
            <w:vMerge/>
            <w:tcBorders>
              <w:top w:val="single" w:sz="4" w:space="0" w:color="auto"/>
              <w:left w:val="single" w:sz="4" w:space="0" w:color="000000"/>
              <w:bottom w:val="single" w:sz="4" w:space="0" w:color="auto"/>
              <w:right w:val="single" w:sz="4" w:space="0" w:color="000000"/>
            </w:tcBorders>
            <w:vAlign w:val="center"/>
          </w:tcPr>
          <w:p w:rsidR="001536C9" w:rsidRDefault="001536C9" w:rsidP="00CF6802">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536C9" w:rsidRDefault="001536C9" w:rsidP="00CF6802">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优化提升3处体育主题公园，</w:t>
            </w:r>
            <w:r>
              <w:rPr>
                <w:rFonts w:ascii="仿宋_GB2312" w:eastAsia="仿宋_GB2312" w:hAnsi="仿宋_GB2312" w:cs="仿宋_GB2312" w:hint="eastAsia"/>
                <w:bCs/>
                <w:sz w:val="28"/>
                <w:szCs w:val="28"/>
              </w:rPr>
              <w:t>打造群众身边的“十分钟健身圈”。</w:t>
            </w:r>
          </w:p>
        </w:tc>
        <w:tc>
          <w:tcPr>
            <w:tcW w:w="2055"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区体育事业发展中心</w:t>
            </w:r>
          </w:p>
        </w:tc>
        <w:tc>
          <w:tcPr>
            <w:tcW w:w="4350"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积极推进济南市森林公园、杨柳春风体育公园及体育运动气膜场馆三处体育主题公园的优化提升。截至目前，已完成济南市森林公园体育场地智能健身器材、康养健身器材等提升亮化工作。</w:t>
            </w:r>
          </w:p>
        </w:tc>
        <w:tc>
          <w:tcPr>
            <w:tcW w:w="4878" w:type="dxa"/>
            <w:tcBorders>
              <w:top w:val="single" w:sz="4" w:space="0" w:color="000000"/>
              <w:left w:val="single" w:sz="4" w:space="0" w:color="000000"/>
              <w:bottom w:val="single" w:sz="4" w:space="0" w:color="000000"/>
              <w:right w:val="single" w:sz="4" w:space="0" w:color="000000"/>
            </w:tcBorders>
            <w:vAlign w:val="center"/>
          </w:tcPr>
          <w:p w:rsidR="001536C9" w:rsidRDefault="001536C9" w:rsidP="00CF6802">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杨柳春风体育公园已完成规划设计，计划打造为具备活力球场区、健身娱乐区、趣味球场区和健身步道的全龄友好型智慧体育公园。体育运动气膜场馆也正在积极推进中，目前已完成在政府网公示。</w:t>
            </w:r>
          </w:p>
        </w:tc>
      </w:tr>
    </w:tbl>
    <w:p w:rsidR="00C7481B" w:rsidRDefault="00C7481B" w:rsidP="001536C9">
      <w:pPr>
        <w:spacing w:line="560" w:lineRule="exact"/>
      </w:pPr>
    </w:p>
    <w:sectPr w:rsidR="00C7481B" w:rsidSect="00EC19E5">
      <w:headerReference w:type="default" r:id="rId4"/>
      <w:footerReference w:type="even" r:id="rId5"/>
      <w:footerReference w:type="default" r:id="rId6"/>
      <w:pgSz w:w="16838" w:h="11906" w:orient="landscape"/>
      <w:pgMar w:top="141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文星仿宋">
    <w:panose1 w:val="02010609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7B2178">
    <w:pPr>
      <w:pStyle w:val="a6"/>
      <w:ind w:left="57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7B2178">
    <w:pPr>
      <w:pStyle w:val="a6"/>
      <w:ind w:rightChars="100" w:right="210"/>
      <w:jc w:val="right"/>
      <w:rPr>
        <w:rFonts w:ascii="仿宋_GB2312" w:eastAsia="仿宋_GB2312"/>
        <w:sz w:val="28"/>
        <w:szCs w:val="28"/>
      </w:rPr>
    </w:pPr>
    <w:r w:rsidRPr="00EC19E5">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C19E5" w:rsidRDefault="007B2178">
                <w:pPr>
                  <w:pStyle w:val="a6"/>
                </w:pPr>
                <w:r>
                  <w:rPr>
                    <w:rFonts w:ascii="文星仿宋" w:eastAsia="文星仿宋" w:hAnsi="文星仿宋" w:cs="文星仿宋" w:hint="eastAsia"/>
                    <w:sz w:val="24"/>
                    <w:szCs w:val="24"/>
                  </w:rPr>
                  <w:t>—</w:t>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Pr>
                    <w:rFonts w:ascii="文星仿宋" w:eastAsia="文星仿宋" w:hAnsi="文星仿宋" w:cs="文星仿宋" w:hint="eastAsia"/>
                    <w:sz w:val="24"/>
                    <w:szCs w:val="24"/>
                  </w:rPr>
                  <w:fldChar w:fldCharType="separate"/>
                </w:r>
                <w:r w:rsidR="001536C9">
                  <w:rPr>
                    <w:rFonts w:ascii="文星仿宋" w:eastAsia="文星仿宋" w:hAnsi="文星仿宋" w:cs="文星仿宋"/>
                    <w:noProof/>
                    <w:sz w:val="24"/>
                    <w:szCs w:val="24"/>
                  </w:rPr>
                  <w:t>1</w:t>
                </w:r>
                <w:r>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7B2178">
    <w:pPr>
      <w:pStyle w:val="a7"/>
      <w:pBdr>
        <w:bottom w:val="none" w:sz="0" w:space="0" w:color="auto"/>
      </w:pBdr>
    </w:pPr>
  </w:p>
  <w:p w:rsidR="00EC19E5" w:rsidRDefault="007B217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1536C9"/>
    <w:rsid w:val="001536C9"/>
    <w:rsid w:val="007B2178"/>
    <w:rsid w:val="00C748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C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536C9"/>
    <w:pPr>
      <w:spacing w:after="120"/>
      <w:ind w:leftChars="200" w:left="420"/>
    </w:pPr>
  </w:style>
  <w:style w:type="character" w:customStyle="1" w:styleId="Char">
    <w:name w:val="正文文本缩进 Char"/>
    <w:basedOn w:val="a0"/>
    <w:link w:val="a3"/>
    <w:uiPriority w:val="99"/>
    <w:semiHidden/>
    <w:rsid w:val="001536C9"/>
    <w:rPr>
      <w:szCs w:val="24"/>
    </w:rPr>
  </w:style>
  <w:style w:type="paragraph" w:styleId="2">
    <w:name w:val="Body Text First Indent 2"/>
    <w:basedOn w:val="a3"/>
    <w:next w:val="a4"/>
    <w:link w:val="2Char"/>
    <w:autoRedefine/>
    <w:qFormat/>
    <w:rsid w:val="001536C9"/>
    <w:pPr>
      <w:widowControl/>
      <w:spacing w:before="120" w:after="0" w:line="760" w:lineRule="exact"/>
      <w:ind w:leftChars="0" w:left="1" w:firstLineChars="200" w:firstLine="420"/>
      <w:jc w:val="left"/>
    </w:pPr>
    <w:rPr>
      <w:rFonts w:ascii="Times New Roman" w:eastAsia="仿宋_GB2312" w:hAnsi="Times New Roman"/>
      <w:kern w:val="0"/>
      <w:sz w:val="32"/>
      <w:szCs w:val="20"/>
    </w:rPr>
  </w:style>
  <w:style w:type="character" w:customStyle="1" w:styleId="2Char">
    <w:name w:val="正文首行缩进 2 Char"/>
    <w:basedOn w:val="Char"/>
    <w:link w:val="2"/>
    <w:rsid w:val="001536C9"/>
    <w:rPr>
      <w:rFonts w:ascii="Times New Roman" w:eastAsia="仿宋_GB2312" w:hAnsi="Times New Roman"/>
      <w:kern w:val="0"/>
      <w:sz w:val="32"/>
      <w:szCs w:val="20"/>
    </w:rPr>
  </w:style>
  <w:style w:type="paragraph" w:styleId="a5">
    <w:name w:val="Plain Text"/>
    <w:basedOn w:val="a"/>
    <w:link w:val="Char0"/>
    <w:autoRedefine/>
    <w:qFormat/>
    <w:rsid w:val="001536C9"/>
    <w:rPr>
      <w:rFonts w:ascii="宋体" w:eastAsia="宋体" w:hAnsi="Courier New" w:cs="Courier New"/>
      <w:szCs w:val="21"/>
    </w:rPr>
  </w:style>
  <w:style w:type="character" w:customStyle="1" w:styleId="Char0">
    <w:name w:val="纯文本 Char"/>
    <w:basedOn w:val="a0"/>
    <w:link w:val="a5"/>
    <w:qFormat/>
    <w:rsid w:val="001536C9"/>
    <w:rPr>
      <w:rFonts w:ascii="宋体" w:eastAsia="宋体" w:hAnsi="Courier New" w:cs="Courier New"/>
      <w:szCs w:val="21"/>
    </w:rPr>
  </w:style>
  <w:style w:type="paragraph" w:styleId="a6">
    <w:name w:val="footer"/>
    <w:basedOn w:val="a"/>
    <w:link w:val="Char1"/>
    <w:autoRedefine/>
    <w:qFormat/>
    <w:rsid w:val="001536C9"/>
    <w:pPr>
      <w:tabs>
        <w:tab w:val="center" w:pos="4153"/>
        <w:tab w:val="right" w:pos="8306"/>
      </w:tabs>
      <w:snapToGrid w:val="0"/>
      <w:jc w:val="left"/>
    </w:pPr>
    <w:rPr>
      <w:sz w:val="18"/>
      <w:szCs w:val="18"/>
    </w:rPr>
  </w:style>
  <w:style w:type="character" w:customStyle="1" w:styleId="Char1">
    <w:name w:val="页脚 Char"/>
    <w:basedOn w:val="a0"/>
    <w:link w:val="a6"/>
    <w:qFormat/>
    <w:rsid w:val="001536C9"/>
    <w:rPr>
      <w:sz w:val="18"/>
      <w:szCs w:val="18"/>
    </w:rPr>
  </w:style>
  <w:style w:type="paragraph" w:styleId="a7">
    <w:name w:val="header"/>
    <w:basedOn w:val="a"/>
    <w:link w:val="Char2"/>
    <w:autoRedefine/>
    <w:qFormat/>
    <w:rsid w:val="001536C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qFormat/>
    <w:rsid w:val="001536C9"/>
    <w:rPr>
      <w:sz w:val="18"/>
      <w:szCs w:val="18"/>
    </w:rPr>
  </w:style>
  <w:style w:type="table" w:styleId="a8">
    <w:name w:val="Table Grid"/>
    <w:basedOn w:val="a1"/>
    <w:autoRedefine/>
    <w:uiPriority w:val="59"/>
    <w:qFormat/>
    <w:rsid w:val="001536C9"/>
    <w:pPr>
      <w:widowControl w:val="0"/>
      <w:jc w:val="both"/>
    </w:pPr>
    <w:rPr>
      <w:rFonts w:ascii="Times New Roman" w:eastAsia="宋体" w:hAnsi="Times New Roman"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3"/>
    <w:uiPriority w:val="99"/>
    <w:semiHidden/>
    <w:unhideWhenUsed/>
    <w:rsid w:val="001536C9"/>
    <w:pPr>
      <w:spacing w:after="120"/>
    </w:pPr>
  </w:style>
  <w:style w:type="character" w:customStyle="1" w:styleId="Char3">
    <w:name w:val="正文文本 Char"/>
    <w:basedOn w:val="a0"/>
    <w:link w:val="a9"/>
    <w:uiPriority w:val="99"/>
    <w:semiHidden/>
    <w:rsid w:val="001536C9"/>
    <w:rPr>
      <w:szCs w:val="24"/>
    </w:rPr>
  </w:style>
  <w:style w:type="paragraph" w:styleId="a4">
    <w:name w:val="Body Text First Indent"/>
    <w:basedOn w:val="a9"/>
    <w:link w:val="Char4"/>
    <w:uiPriority w:val="99"/>
    <w:semiHidden/>
    <w:unhideWhenUsed/>
    <w:rsid w:val="001536C9"/>
    <w:pPr>
      <w:ind w:firstLineChars="100" w:firstLine="420"/>
    </w:pPr>
  </w:style>
  <w:style w:type="character" w:customStyle="1" w:styleId="Char4">
    <w:name w:val="正文首行缩进 Char"/>
    <w:basedOn w:val="Char3"/>
    <w:link w:val="a4"/>
    <w:uiPriority w:val="99"/>
    <w:semiHidden/>
    <w:rsid w:val="001536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2025-11-20T03:21:00Z</dcterms:created>
  <dcterms:modified xsi:type="dcterms:W3CDTF">2025-11-20T03:24:00Z</dcterms:modified>
</cp:coreProperties>
</file>