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834A2">
      <w:pPr>
        <w:spacing w:line="220" w:lineRule="atLeas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济南市槐荫区应急管理局2025</w:t>
      </w:r>
      <w:bookmarkStart w:id="0" w:name="_GoBack"/>
      <w:bookmarkEnd w:id="0"/>
      <w:r>
        <w:rPr>
          <w:rFonts w:hint="eastAsia" w:ascii="方正小标宋简体" w:hAnsi="方正小标宋简体" w:eastAsia="方正小标宋简体" w:cs="方正小标宋简体"/>
          <w:sz w:val="36"/>
          <w:szCs w:val="36"/>
          <w:lang w:val="en-US" w:eastAsia="zh-CN"/>
        </w:rPr>
        <w:t>年度“双随机、一公开”随机抽查事项清单</w:t>
      </w:r>
    </w:p>
    <w:tbl>
      <w:tblPr>
        <w:tblStyle w:val="7"/>
        <w:tblpPr w:leftFromText="180" w:rightFromText="180" w:vertAnchor="page" w:horzAnchor="margin" w:tblpY="26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37"/>
        <w:gridCol w:w="2543"/>
        <w:gridCol w:w="937"/>
        <w:gridCol w:w="937"/>
        <w:gridCol w:w="963"/>
        <w:gridCol w:w="6012"/>
      </w:tblGrid>
      <w:tr w14:paraId="39AD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41" w:type="dxa"/>
            <w:vAlign w:val="center"/>
          </w:tcPr>
          <w:p w14:paraId="65DE5520">
            <w:pPr>
              <w:spacing w:after="0" w:line="220" w:lineRule="atLeast"/>
              <w:jc w:val="center"/>
              <w:rPr>
                <w:rFonts w:hint="eastAsia" w:ascii="黑体" w:hAnsi="黑体" w:eastAsia="黑体" w:cs="黑体"/>
                <w:sz w:val="18"/>
                <w:szCs w:val="18"/>
                <w:lang w:val="en-US" w:eastAsia="zh-CN"/>
              </w:rPr>
            </w:pPr>
            <w:r>
              <w:rPr>
                <w:rFonts w:hint="eastAsia" w:ascii="黑体" w:hAnsi="黑体" w:eastAsia="黑体" w:cs="黑体"/>
                <w:sz w:val="18"/>
                <w:szCs w:val="18"/>
              </w:rPr>
              <w:t>抽查事项</w:t>
            </w:r>
            <w:r>
              <w:rPr>
                <w:rFonts w:hint="eastAsia" w:ascii="黑体" w:hAnsi="黑体" w:eastAsia="黑体" w:cs="黑体"/>
                <w:sz w:val="18"/>
                <w:szCs w:val="18"/>
                <w:lang w:val="en-US" w:eastAsia="zh-CN"/>
              </w:rPr>
              <w:t>名称</w:t>
            </w:r>
          </w:p>
        </w:tc>
        <w:tc>
          <w:tcPr>
            <w:tcW w:w="1337" w:type="dxa"/>
            <w:vAlign w:val="center"/>
          </w:tcPr>
          <w:p w14:paraId="0C4C0518">
            <w:pPr>
              <w:spacing w:after="0" w:line="220" w:lineRule="atLeas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检查对象</w:t>
            </w:r>
          </w:p>
        </w:tc>
        <w:tc>
          <w:tcPr>
            <w:tcW w:w="2543" w:type="dxa"/>
            <w:vAlign w:val="center"/>
          </w:tcPr>
          <w:p w14:paraId="2A38EFF5">
            <w:pPr>
              <w:spacing w:after="0" w:line="220" w:lineRule="atLeast"/>
              <w:jc w:val="center"/>
              <w:rPr>
                <w:rFonts w:hint="eastAsia" w:ascii="黑体" w:hAnsi="黑体" w:eastAsia="黑体" w:cs="黑体"/>
                <w:sz w:val="18"/>
                <w:szCs w:val="18"/>
              </w:rPr>
            </w:pPr>
            <w:r>
              <w:rPr>
                <w:rFonts w:hint="eastAsia" w:ascii="黑体" w:hAnsi="黑体" w:eastAsia="黑体" w:cs="黑体"/>
                <w:sz w:val="18"/>
                <w:szCs w:val="18"/>
              </w:rPr>
              <w:t>抽查内容</w:t>
            </w:r>
          </w:p>
        </w:tc>
        <w:tc>
          <w:tcPr>
            <w:tcW w:w="937" w:type="dxa"/>
            <w:vAlign w:val="center"/>
          </w:tcPr>
          <w:p w14:paraId="0BAB6A0E">
            <w:pPr>
              <w:spacing w:after="0" w:line="220" w:lineRule="atLeas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抽查事项类别</w:t>
            </w:r>
          </w:p>
        </w:tc>
        <w:tc>
          <w:tcPr>
            <w:tcW w:w="937" w:type="dxa"/>
            <w:vAlign w:val="center"/>
          </w:tcPr>
          <w:p w14:paraId="26E6129A">
            <w:pPr>
              <w:spacing w:after="0" w:line="220" w:lineRule="atLeast"/>
              <w:jc w:val="center"/>
              <w:rPr>
                <w:rFonts w:hint="eastAsia" w:ascii="黑体" w:hAnsi="黑体" w:eastAsia="黑体" w:cs="黑体"/>
                <w:sz w:val="18"/>
                <w:szCs w:val="18"/>
              </w:rPr>
            </w:pPr>
            <w:r>
              <w:rPr>
                <w:rFonts w:hint="eastAsia" w:ascii="黑体" w:hAnsi="黑体" w:eastAsia="黑体" w:cs="黑体"/>
                <w:sz w:val="18"/>
                <w:szCs w:val="18"/>
              </w:rPr>
              <w:t>检查方式</w:t>
            </w:r>
          </w:p>
        </w:tc>
        <w:tc>
          <w:tcPr>
            <w:tcW w:w="963" w:type="dxa"/>
            <w:vAlign w:val="center"/>
          </w:tcPr>
          <w:p w14:paraId="5375875C">
            <w:pPr>
              <w:spacing w:after="0" w:line="220" w:lineRule="atLeast"/>
              <w:jc w:val="center"/>
              <w:rPr>
                <w:rFonts w:hint="eastAsia" w:ascii="黑体" w:hAnsi="黑体" w:eastAsia="黑体" w:cs="黑体"/>
                <w:sz w:val="18"/>
                <w:szCs w:val="18"/>
              </w:rPr>
            </w:pPr>
            <w:r>
              <w:rPr>
                <w:rFonts w:hint="eastAsia" w:ascii="黑体" w:hAnsi="黑体" w:eastAsia="黑体" w:cs="黑体"/>
                <w:sz w:val="18"/>
                <w:szCs w:val="18"/>
              </w:rPr>
              <w:t>抽查比例及频次</w:t>
            </w:r>
          </w:p>
        </w:tc>
        <w:tc>
          <w:tcPr>
            <w:tcW w:w="6012" w:type="dxa"/>
            <w:vAlign w:val="center"/>
          </w:tcPr>
          <w:p w14:paraId="2510CA3F">
            <w:pPr>
              <w:spacing w:after="0" w:line="220" w:lineRule="atLeast"/>
              <w:jc w:val="center"/>
              <w:rPr>
                <w:rFonts w:hint="eastAsia" w:ascii="黑体" w:hAnsi="黑体" w:eastAsia="黑体" w:cs="黑体"/>
                <w:sz w:val="18"/>
                <w:szCs w:val="18"/>
              </w:rPr>
            </w:pPr>
            <w:r>
              <w:rPr>
                <w:rFonts w:hint="eastAsia" w:ascii="黑体" w:hAnsi="黑体" w:eastAsia="黑体" w:cs="黑体"/>
                <w:sz w:val="18"/>
                <w:szCs w:val="18"/>
              </w:rPr>
              <w:t>检查依据</w:t>
            </w:r>
          </w:p>
        </w:tc>
      </w:tr>
      <w:tr w14:paraId="05FB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41" w:type="dxa"/>
            <w:vAlign w:val="center"/>
          </w:tcPr>
          <w:p w14:paraId="2D419715">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应急管理情况检查</w:t>
            </w:r>
          </w:p>
        </w:tc>
        <w:tc>
          <w:tcPr>
            <w:tcW w:w="1337" w:type="dxa"/>
            <w:vAlign w:val="center"/>
          </w:tcPr>
          <w:p w14:paraId="0A1A42BE">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全区范围内的危化品储存经营企业，重点工商贸企业</w:t>
            </w:r>
          </w:p>
        </w:tc>
        <w:tc>
          <w:tcPr>
            <w:tcW w:w="2543" w:type="dxa"/>
            <w:vAlign w:val="center"/>
          </w:tcPr>
          <w:p w14:paraId="251EEFF5">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检查建立应急救援组织建设、应急预案编制及演练情况</w:t>
            </w:r>
          </w:p>
        </w:tc>
        <w:tc>
          <w:tcPr>
            <w:tcW w:w="937" w:type="dxa"/>
            <w:vAlign w:val="center"/>
          </w:tcPr>
          <w:p w14:paraId="04306B83">
            <w:pPr>
              <w:spacing w:after="0" w:line="220" w:lineRule="atLeas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重点检查事项</w:t>
            </w:r>
          </w:p>
        </w:tc>
        <w:tc>
          <w:tcPr>
            <w:tcW w:w="937" w:type="dxa"/>
            <w:vAlign w:val="center"/>
          </w:tcPr>
          <w:p w14:paraId="0C5577AA">
            <w:pPr>
              <w:spacing w:after="0" w:line="220" w:lineRule="atLeas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资料审查、现场检查</w:t>
            </w:r>
          </w:p>
        </w:tc>
        <w:tc>
          <w:tcPr>
            <w:tcW w:w="963" w:type="dxa"/>
            <w:vAlign w:val="center"/>
          </w:tcPr>
          <w:p w14:paraId="691BB58F">
            <w:pPr>
              <w:spacing w:after="0" w:line="220" w:lineRule="atLeas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按照年度执法计划执行</w:t>
            </w:r>
          </w:p>
        </w:tc>
        <w:tc>
          <w:tcPr>
            <w:tcW w:w="6012" w:type="dxa"/>
            <w:vAlign w:val="center"/>
          </w:tcPr>
          <w:p w14:paraId="212DA36D">
            <w:pPr>
              <w:spacing w:after="0" w:line="220" w:lineRule="atLeast"/>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《中华人民共和国安全生产法》（2021年6月10日通过，自2021年9月1日起</w:t>
            </w:r>
            <w:r>
              <w:rPr>
                <w:rFonts w:hint="eastAsia" w:asciiTheme="minorEastAsia" w:hAnsiTheme="minorEastAsia" w:eastAsiaTheme="minorEastAsia" w:cstheme="minorEastAsia"/>
                <w:sz w:val="18"/>
                <w:szCs w:val="18"/>
                <w:lang w:val="en-US" w:eastAsia="zh-CN"/>
              </w:rPr>
              <w:t>实行</w:t>
            </w:r>
            <w:r>
              <w:rPr>
                <w:rFonts w:hint="eastAsia" w:asciiTheme="minorEastAsia" w:hAnsiTheme="minorEastAsia" w:eastAsiaTheme="minorEastAsia" w:cstheme="minorEastAsia"/>
                <w:sz w:val="18"/>
                <w:szCs w:val="18"/>
                <w:lang w:eastAsia="zh-CN"/>
              </w:rPr>
              <w:t>）第八十一条 生产经营单位应当制定本单位生产安全事故应急救援预案，与所在地县级以上地方人民政府组织制定的生产安全事故应急救援预案相衔接，并定期组织演练。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r>
      <w:tr w14:paraId="3159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41" w:type="dxa"/>
            <w:vAlign w:val="center"/>
          </w:tcPr>
          <w:p w14:paraId="664C3E15">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对化工和危险化学品经营（带仓储设施）企业安全管理情况的检查。</w:t>
            </w:r>
          </w:p>
        </w:tc>
        <w:tc>
          <w:tcPr>
            <w:tcW w:w="1337" w:type="dxa"/>
            <w:vAlign w:val="center"/>
          </w:tcPr>
          <w:p w14:paraId="72C680AA">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全区范围内的化工和危险化学品经营（带仓储设施）企业。</w:t>
            </w:r>
          </w:p>
        </w:tc>
        <w:tc>
          <w:tcPr>
            <w:tcW w:w="2543" w:type="dxa"/>
            <w:vAlign w:val="center"/>
          </w:tcPr>
          <w:p w14:paraId="1028398E">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人员和资质管理情况（人员培训和持证上岗情况、劳动防护用品佩戴和使用情况、发包或出租企业，依法履行安全管理职责情况、依法依规取得相关安全许可证情况）；工艺管理情况；设备设施管理情况；危险化学品安全技术说明书、安全标签及储存管理情况。</w:t>
            </w:r>
          </w:p>
        </w:tc>
        <w:tc>
          <w:tcPr>
            <w:tcW w:w="937" w:type="dxa"/>
            <w:vAlign w:val="center"/>
          </w:tcPr>
          <w:p w14:paraId="7A0EC4C2">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重点检查事项</w:t>
            </w:r>
          </w:p>
        </w:tc>
        <w:tc>
          <w:tcPr>
            <w:tcW w:w="937" w:type="dxa"/>
            <w:vAlign w:val="center"/>
          </w:tcPr>
          <w:p w14:paraId="608C978B">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color w:val="auto"/>
                <w:sz w:val="18"/>
                <w:szCs w:val="18"/>
              </w:rPr>
              <w:t>资料审查、现场检查</w:t>
            </w:r>
          </w:p>
        </w:tc>
        <w:tc>
          <w:tcPr>
            <w:tcW w:w="963" w:type="dxa"/>
            <w:vAlign w:val="center"/>
          </w:tcPr>
          <w:p w14:paraId="4753641D">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color w:val="auto"/>
                <w:sz w:val="18"/>
                <w:szCs w:val="18"/>
              </w:rPr>
              <w:t>抽查比例</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根据实际情况确定抽查频次</w:t>
            </w:r>
          </w:p>
        </w:tc>
        <w:tc>
          <w:tcPr>
            <w:tcW w:w="6012" w:type="dxa"/>
            <w:vAlign w:val="center"/>
          </w:tcPr>
          <w:p w14:paraId="54E3F199">
            <w:pPr>
              <w:spacing w:after="0" w:line="220" w:lineRule="atLeas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1.《中华人民共和国安全生产法》</w:t>
            </w:r>
            <w:r>
              <w:rPr>
                <w:rFonts w:hint="eastAsia" w:asciiTheme="minorEastAsia" w:hAnsiTheme="minorEastAsia" w:eastAsiaTheme="minorEastAsia" w:cstheme="minorEastAsia"/>
                <w:sz w:val="18"/>
                <w:szCs w:val="18"/>
                <w:lang w:eastAsia="zh-CN"/>
              </w:rPr>
              <w:t>（2021年6月10日通过，自2021年9月1日起</w:t>
            </w:r>
            <w:r>
              <w:rPr>
                <w:rFonts w:hint="eastAsia" w:asciiTheme="minorEastAsia" w:hAnsiTheme="minorEastAsia" w:eastAsiaTheme="minorEastAsia" w:cstheme="minorEastAsia"/>
                <w:sz w:val="18"/>
                <w:szCs w:val="18"/>
                <w:lang w:val="en-US" w:eastAsia="zh-CN"/>
              </w:rPr>
              <w:t>实行</w:t>
            </w:r>
            <w:r>
              <w:rPr>
                <w:rFonts w:hint="eastAsia" w:asciiTheme="minorEastAsia" w:hAnsiTheme="minorEastAsia" w:eastAsiaTheme="minorEastAsia" w:cstheme="minorEastAsia"/>
                <w:sz w:val="18"/>
                <w:szCs w:val="18"/>
              </w:rPr>
              <w:t>）第六十三条</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第九十七条</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第九十八条</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矿山、金属冶炼建设项目或者用于生产、储存、装卸危险物品的建设项目没有安全设施设计或者安全设施设计未按照规定报经有关部门审查同意的</w:t>
            </w:r>
            <w:r>
              <w:rPr>
                <w:rFonts w:hint="eastAsia" w:asciiTheme="minorEastAsia" w:hAnsiTheme="minorEastAsia" w:eastAsiaTheme="minorEastAsia" w:cstheme="minorEastAsia"/>
                <w:sz w:val="18"/>
                <w:szCs w:val="18"/>
                <w:lang w:eastAsia="zh-CN"/>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w:t>
            </w:r>
            <w:r>
              <w:rPr>
                <w:rFonts w:hint="eastAsia" w:asciiTheme="minorEastAsia" w:hAnsiTheme="minorEastAsia" w:eastAsiaTheme="minorEastAsia" w:cstheme="minorEastAsia"/>
                <w:sz w:val="18"/>
                <w:szCs w:val="18"/>
              </w:rPr>
              <w:t>2.《危险化学品安全管理条例》（国务院令第344号，2013年12月修改）全文。</w:t>
            </w:r>
          </w:p>
        </w:tc>
      </w:tr>
      <w:tr w14:paraId="511A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41" w:type="dxa"/>
            <w:vAlign w:val="center"/>
          </w:tcPr>
          <w:p w14:paraId="44088188">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对建材</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轻工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商贸</w:t>
            </w:r>
            <w:r>
              <w:rPr>
                <w:rFonts w:hint="eastAsia" w:asciiTheme="minorEastAsia" w:hAnsiTheme="minorEastAsia" w:eastAsiaTheme="minorEastAsia" w:cstheme="minorEastAsia"/>
                <w:sz w:val="18"/>
                <w:szCs w:val="18"/>
              </w:rPr>
              <w:t>企业安全生产管理情况的检查</w:t>
            </w:r>
          </w:p>
        </w:tc>
        <w:tc>
          <w:tcPr>
            <w:tcW w:w="1337" w:type="dxa"/>
            <w:vAlign w:val="center"/>
          </w:tcPr>
          <w:p w14:paraId="292C1300">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全区范围内的建材、轻工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商贸</w:t>
            </w:r>
            <w:r>
              <w:rPr>
                <w:rFonts w:hint="eastAsia" w:asciiTheme="minorEastAsia" w:hAnsiTheme="minorEastAsia" w:eastAsiaTheme="minorEastAsia" w:cstheme="minorEastAsia"/>
                <w:sz w:val="18"/>
                <w:szCs w:val="18"/>
              </w:rPr>
              <w:t>企业</w:t>
            </w:r>
          </w:p>
        </w:tc>
        <w:tc>
          <w:tcPr>
            <w:tcW w:w="2543" w:type="dxa"/>
            <w:vAlign w:val="center"/>
          </w:tcPr>
          <w:p w14:paraId="0FE12FFF">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建设项目安全“三同时”情况；建立安全生产风险分级管控和隐患排查治理体系情况；安全基础管理情况（安全生产管理制度制定及落实，安全</w:t>
            </w:r>
            <w:r>
              <w:rPr>
                <w:rFonts w:hint="eastAsia" w:asciiTheme="minorEastAsia" w:hAnsiTheme="minorEastAsia" w:eastAsiaTheme="minorEastAsia" w:cstheme="minorEastAsia"/>
                <w:sz w:val="18"/>
                <w:szCs w:val="18"/>
                <w:lang w:val="en-US" w:eastAsia="zh-CN"/>
              </w:rPr>
              <w:t>投入</w:t>
            </w:r>
            <w:r>
              <w:rPr>
                <w:rFonts w:hint="eastAsia" w:asciiTheme="minorEastAsia" w:hAnsiTheme="minorEastAsia" w:eastAsiaTheme="minorEastAsia" w:cstheme="minorEastAsia"/>
                <w:sz w:val="18"/>
                <w:szCs w:val="18"/>
              </w:rPr>
              <w:t>，安全管理机构设置及人员配备，主要负责人、安全管理人员考核合格和特种作业人员持证上岗及全员培训、岗位操作规程、应急管理等）现场安全管理情况</w:t>
            </w:r>
          </w:p>
        </w:tc>
        <w:tc>
          <w:tcPr>
            <w:tcW w:w="937" w:type="dxa"/>
            <w:vAlign w:val="center"/>
          </w:tcPr>
          <w:p w14:paraId="5CF722F0">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重点检查事项</w:t>
            </w:r>
          </w:p>
        </w:tc>
        <w:tc>
          <w:tcPr>
            <w:tcW w:w="937" w:type="dxa"/>
            <w:vAlign w:val="center"/>
          </w:tcPr>
          <w:p w14:paraId="27DF0BA4">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资料审查、现场检查</w:t>
            </w:r>
          </w:p>
        </w:tc>
        <w:tc>
          <w:tcPr>
            <w:tcW w:w="963" w:type="dxa"/>
            <w:vAlign w:val="center"/>
          </w:tcPr>
          <w:p w14:paraId="3883F919">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抽查比例</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根据实际情况确定抽查频次</w:t>
            </w:r>
          </w:p>
        </w:tc>
        <w:tc>
          <w:tcPr>
            <w:tcW w:w="6012" w:type="dxa"/>
            <w:vAlign w:val="center"/>
          </w:tcPr>
          <w:p w14:paraId="631C8DC8">
            <w:pPr>
              <w:spacing w:after="0" w:line="22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1.《中华人民共和国安全生产法》（</w:t>
            </w:r>
            <w:r>
              <w:rPr>
                <w:rFonts w:hint="eastAsia" w:asciiTheme="minorEastAsia" w:hAnsiTheme="minorEastAsia" w:eastAsiaTheme="minorEastAsia" w:cstheme="minorEastAsia"/>
                <w:sz w:val="18"/>
                <w:szCs w:val="18"/>
                <w:lang w:eastAsia="zh-CN"/>
              </w:rPr>
              <w:t>2021年6月10日通过，自2021年9月1日起</w:t>
            </w:r>
            <w:r>
              <w:rPr>
                <w:rFonts w:hint="eastAsia" w:asciiTheme="minorEastAsia" w:hAnsiTheme="minorEastAsia" w:eastAsiaTheme="minorEastAsia" w:cstheme="minorEastAsia"/>
                <w:sz w:val="18"/>
                <w:szCs w:val="18"/>
                <w:lang w:val="en-US" w:eastAsia="zh-CN"/>
              </w:rPr>
              <w:t>实行</w:t>
            </w:r>
            <w:r>
              <w:rPr>
                <w:rFonts w:hint="eastAsia" w:asciiTheme="minorEastAsia" w:hAnsiTheme="minorEastAsia" w:eastAsiaTheme="minorEastAsia" w:cstheme="minorEastAsia"/>
                <w:sz w:val="18"/>
                <w:szCs w:val="18"/>
              </w:rPr>
              <w:t>）第六十三条</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第九十七条</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(五)未为从业人员提供符合国家标准或者行业标准的劳动防护用品的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2.《山东省安全生产行政责任制规定》（山东省人民政府令第293号）第十条：“县级以上人民政府安全生产监督管理部门对本行政区域内的安全生产工作进行综合监督管理，履行下列职责：……（四）对非煤矿山单位、危险化学品生产经营和储存单位、烟花爆竹生产经营单位进行安全生产监督管理；（五）对冶金、有色、建材、轻工、纺织、机械、商贸、烟草等行业的生产经营单位进行安全生产监督检查；……”</w:t>
            </w:r>
          </w:p>
        </w:tc>
      </w:tr>
    </w:tbl>
    <w:p w14:paraId="5777DB4C">
      <w:pPr>
        <w:spacing w:line="220" w:lineRule="atLeast"/>
        <w:jc w:val="center"/>
        <w:rPr>
          <w:rFonts w:hint="eastAsia" w:asciiTheme="minorEastAsia" w:hAnsiTheme="minorEastAsia" w:eastAsiaTheme="minorEastAsia" w:cstheme="minorEastAsia"/>
          <w:sz w:val="36"/>
          <w:szCs w:val="36"/>
          <w:lang w:val="en-US" w:eastAsia="zh-CN"/>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BEC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2B0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A19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A37E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3EE7">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BA7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WZhZjFjZWViNWQ0NWVhNGU2ZDljZWUxOWIwMTAifQ=="/>
  </w:docVars>
  <w:rsids>
    <w:rsidRoot w:val="00000000"/>
    <w:rsid w:val="1EE17E42"/>
    <w:rsid w:val="6DD436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pPr>
      <w:spacing w:after="0"/>
    </w:pPr>
    <w:rPr>
      <w:sz w:val="18"/>
      <w:szCs w:val="18"/>
    </w:rPr>
  </w:style>
  <w:style w:type="paragraph" w:styleId="3">
    <w:name w:val="footer"/>
    <w:basedOn w:val="1"/>
    <w:link w:val="11"/>
    <w:autoRedefine/>
    <w:unhideWhenUsed/>
    <w:qFormat/>
    <w:uiPriority w:val="99"/>
    <w:pPr>
      <w:tabs>
        <w:tab w:val="center" w:pos="4153"/>
        <w:tab w:val="right" w:pos="8306"/>
      </w:tabs>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rFonts w:ascii="Tahoma" w:hAnsi="Tahoma"/>
      <w:sz w:val="18"/>
      <w:szCs w:val="18"/>
    </w:rPr>
  </w:style>
  <w:style w:type="character" w:customStyle="1" w:styleId="10">
    <w:name w:val="页眉 Char"/>
    <w:basedOn w:val="8"/>
    <w:link w:val="4"/>
    <w:autoRedefine/>
    <w:semiHidden/>
    <w:qFormat/>
    <w:uiPriority w:val="99"/>
    <w:rPr>
      <w:rFonts w:ascii="Tahoma" w:hAnsi="Tahoma"/>
      <w:sz w:val="18"/>
      <w:szCs w:val="18"/>
    </w:rPr>
  </w:style>
  <w:style w:type="character" w:customStyle="1" w:styleId="11">
    <w:name w:val="页脚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3008</Words>
  <Characters>3056</Characters>
  <Lines>31</Lines>
  <Paragraphs>8</Paragraphs>
  <TotalTime>5</TotalTime>
  <ScaleCrop>false</ScaleCrop>
  <LinksUpToDate>false</LinksUpToDate>
  <CharactersWithSpaces>3058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Lenovo</dc:creator>
  <cp:lastModifiedBy>你的满满ye</cp:lastModifiedBy>
  <dcterms:modified xsi:type="dcterms:W3CDTF">2025-01-06T06:58:48Z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34170BCF850349E59D492AE8F900FDBE</vt:lpwstr>
  </property>
  <property fmtid="{D5CDD505-2E9C-101B-9397-08002B2CF9AE}" pid="4" name="KSOTemplateDocerSaveRecord">
    <vt:lpwstr>eyJoZGlkIjoiY2FhYjcyM2ZhYTQ1YjA2ZTIzODNhOGY1MDg1ODliYmUiLCJ1c2VySWQiOiI5OTk2NjM4ODUifQ==</vt:lpwstr>
  </property>
</Properties>
</file>