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559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济槐南政字(2024)</w:t>
      </w:r>
      <w:r>
        <w:rPr>
          <w:rFonts w:ascii="FangSong" w:hAnsi="FangSong" w:eastAsia="FangSong" w:cs="FangSong"/>
          <w:sz w:val="31"/>
          <w:szCs w:val="31"/>
          <w:spacing w:val="1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2</w:t>
      </w:r>
      <w:r>
        <w:rPr>
          <w:rFonts w:ascii="FangSong" w:hAnsi="FangSong" w:eastAsia="FangSong" w:cs="FangSong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号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005" w:right="247" w:hanging="1999"/>
        <w:spacing w:before="140" w:line="305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关于印发《南辛庄街道整治违法违章建设工作</w:t>
      </w:r>
      <w:r>
        <w:rPr>
          <w:rFonts w:ascii="SimSun" w:hAnsi="SimSun" w:eastAsia="SimSun" w:cs="SimSun"/>
          <w:sz w:val="43"/>
          <w:szCs w:val="43"/>
          <w:spacing w:val="1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网格化管控机制》的通知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各社区、各相关单位：</w:t>
      </w:r>
    </w:p>
    <w:p>
      <w:pPr>
        <w:ind w:left="630"/>
        <w:spacing w:before="237" w:line="63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4"/>
        </w:rPr>
        <w:t>现将《南辛庄街道整治违法违章建设工作网格化管控机制》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印发给你们，请结合实际工作，抓好贯彻落实。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3420"/>
        <w:spacing w:before="101" w:line="64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5"/>
        </w:rPr>
        <w:t>槐荫区人民政府南辛庄街道办事处</w:t>
      </w:r>
    </w:p>
    <w:p>
      <w:pPr>
        <w:ind w:left="458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6"/>
        </w:rPr>
        <w:t>2024年1月23日</w:t>
      </w:r>
    </w:p>
    <w:p>
      <w:pPr>
        <w:spacing w:line="222" w:lineRule="auto"/>
        <w:sectPr>
          <w:pgSz w:w="12670" w:h="17360"/>
          <w:pgMar w:top="1475" w:right="1900" w:bottom="0" w:left="174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901"/>
        <w:spacing w:before="177" w:line="590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10"/>
        </w:rPr>
        <w:t>南辛庄街道整治违法违章建设工作</w:t>
      </w:r>
    </w:p>
    <w:p>
      <w:pPr>
        <w:ind w:left="2651"/>
        <w:spacing w:before="1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网格化管控机制</w:t>
      </w:r>
    </w:p>
    <w:p>
      <w:pPr>
        <w:ind w:left="5"/>
        <w:spacing w:before="16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各社区、各相关单位：</w:t>
      </w:r>
    </w:p>
    <w:p>
      <w:pPr>
        <w:ind w:left="5" w:right="429" w:firstLine="620"/>
        <w:spacing w:before="259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为巩固辖区违法违章建设整治工作成效，遏制各类违法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建设的发生，经街道办会议审议同意，现将违法违章</w:t>
      </w:r>
      <w:r>
        <w:rPr>
          <w:rFonts w:ascii="FangSong" w:hAnsi="FangSong" w:eastAsia="FangSong" w:cs="FangSong"/>
          <w:sz w:val="31"/>
          <w:szCs w:val="31"/>
          <w:spacing w:val="7"/>
        </w:rPr>
        <w:t>建设网</w:t>
      </w:r>
    </w:p>
    <w:p>
      <w:pPr>
        <w:ind w:left="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格化管理的有关事项通知如下：</w:t>
      </w:r>
    </w:p>
    <w:p>
      <w:pPr>
        <w:ind w:left="629"/>
        <w:spacing w:before="22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一、加强思想认识</w:t>
      </w:r>
    </w:p>
    <w:p>
      <w:pPr>
        <w:ind w:left="5" w:right="427" w:firstLine="620"/>
        <w:spacing w:before="260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为实现市禁违办“新增违法建设动态清零目标，及时有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效控制和查处违法建设行为”,各社区、部门务必要高</w:t>
      </w:r>
      <w:r>
        <w:rPr>
          <w:rFonts w:ascii="FangSong" w:hAnsi="FangSong" w:eastAsia="FangSong" w:cs="FangSong"/>
          <w:sz w:val="31"/>
          <w:szCs w:val="31"/>
          <w:spacing w:val="13"/>
        </w:rPr>
        <w:t>度重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视禁违拆违治违网格化管理工作，进一步畅通违建举报</w:t>
      </w:r>
      <w:r>
        <w:rPr>
          <w:rFonts w:ascii="FangSong" w:hAnsi="FangSong" w:eastAsia="FangSong" w:cs="FangSong"/>
          <w:sz w:val="31"/>
          <w:szCs w:val="31"/>
          <w:spacing w:val="6"/>
        </w:rPr>
        <w:t>和巡</w:t>
      </w:r>
    </w:p>
    <w:p>
      <w:pPr>
        <w:ind w:left="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查渠道，提高全民参与控违认识，切实控制违建源头。</w:t>
      </w:r>
    </w:p>
    <w:p>
      <w:pPr>
        <w:ind w:left="619"/>
        <w:spacing w:before="234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二、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明确工作目标</w:t>
      </w:r>
    </w:p>
    <w:p>
      <w:pPr>
        <w:ind w:left="5" w:right="320" w:firstLine="620"/>
        <w:spacing w:before="262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坚持分级管理，分片包干、属地负责、联合防控的原则，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加强主动防控意识，建立健全违法建设防控“责任网”、“发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现网”“查处网"和“监督网”,实行网格防控巡查的规范化、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全覆盖、无盲点、零距离的管理模式，将违法建设控制在萌</w:t>
      </w:r>
    </w:p>
    <w:p>
      <w:pPr>
        <w:ind w:left="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芽状态。</w:t>
      </w:r>
    </w:p>
    <w:p>
      <w:pPr>
        <w:ind w:left="629"/>
        <w:spacing w:before="227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三、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明确网格划分及责任</w:t>
      </w:r>
    </w:p>
    <w:p>
      <w:pPr>
        <w:ind w:left="5" w:right="441" w:firstLine="620"/>
        <w:spacing w:before="228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各居委会是违法建设控制工作的一级责任主体，各居委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会主任是本辖区内防控违法建设的第一责任人，分</w:t>
      </w:r>
      <w:r>
        <w:rPr>
          <w:rFonts w:ascii="FangSong" w:hAnsi="FangSong" w:eastAsia="FangSong" w:cs="FangSong"/>
          <w:sz w:val="31"/>
          <w:szCs w:val="31"/>
          <w:spacing w:val="6"/>
        </w:rPr>
        <w:t>管负责人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为具体责任人，街道办事处为违法建设防控工作二级责任主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体，办事处主任是本辖区防控违法建设的第一责任人，分管</w:t>
      </w:r>
    </w:p>
    <w:p>
      <w:pPr>
        <w:ind w:left="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负责人为具体责任人。各相关科、所、队是违法建设防控的</w:t>
      </w:r>
    </w:p>
    <w:p>
      <w:pPr>
        <w:spacing w:line="221" w:lineRule="auto"/>
        <w:sectPr>
          <w:pgSz w:w="12430" w:h="17200"/>
          <w:pgMar w:top="1461" w:right="1864" w:bottom="0" w:left="186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338"/>
        <w:spacing w:before="209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三级责任主体。街道干部包挂社区，形成分片包干、全覆盖、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责任到人的三级网格管理体系。街道办事处、相关部门各居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委会负责人的电话向社会公示，形成强大的控违拆违网格化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工作体系。</w:t>
      </w:r>
    </w:p>
    <w:p>
      <w:pPr>
        <w:ind w:left="794"/>
        <w:spacing w:before="247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6"/>
        </w:rPr>
        <w:t>(一)街道无违建办公室职责</w:t>
      </w:r>
    </w:p>
    <w:p>
      <w:pPr>
        <w:ind w:right="427" w:firstLine="639"/>
        <w:spacing w:before="235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街道无违建工作领导小组负责领导、协调、控制和查处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违法建设。根据网格化管理责任范围，签订控制违法</w:t>
      </w:r>
      <w:r>
        <w:rPr>
          <w:rFonts w:ascii="FangSong" w:hAnsi="FangSong" w:eastAsia="FangSong" w:cs="FangSong"/>
          <w:sz w:val="31"/>
          <w:szCs w:val="31"/>
          <w:spacing w:val="7"/>
        </w:rPr>
        <w:t>建设目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标责任书；协调各职能部门依法履职；定期召</w:t>
      </w:r>
      <w:r>
        <w:rPr>
          <w:rFonts w:ascii="FangSong" w:hAnsi="FangSong" w:eastAsia="FangSong" w:cs="FangSong"/>
          <w:sz w:val="31"/>
          <w:szCs w:val="31"/>
          <w:spacing w:val="7"/>
        </w:rPr>
        <w:t>开违法建设管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控工作会议，通报处理情况；部署重大、复杂的违法建设强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拆行动：从职能部门抽调人员组成专门或常设机构，以部门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联动的方式处置违法建设。</w:t>
      </w:r>
    </w:p>
    <w:p>
      <w:pPr>
        <w:ind w:left="794"/>
        <w:spacing w:before="228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5"/>
        </w:rPr>
        <w:t>(二)社区职责</w:t>
      </w:r>
    </w:p>
    <w:p>
      <w:pPr>
        <w:ind w:right="451" w:firstLine="639"/>
        <w:spacing w:before="228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负责本辖区网格内违法建设的巡查、制止、上报；建立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巡查、控违拆违等工作机制并严格落实；接</w:t>
      </w:r>
      <w:r>
        <w:rPr>
          <w:rFonts w:ascii="FangSong" w:hAnsi="FangSong" w:eastAsia="FangSong" w:cs="FangSong"/>
          <w:sz w:val="31"/>
          <w:szCs w:val="31"/>
          <w:spacing w:val="7"/>
        </w:rPr>
        <w:t>到违法建设信息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后，第一时间制止并上报街道无违建办公室；安排专人协助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各社区处理，对当事人不配合查处的违法案件予以见证；对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违法建设当事人做思想教育工作，消除矛盾。</w:t>
      </w:r>
    </w:p>
    <w:p>
      <w:pPr>
        <w:ind w:left="794"/>
        <w:spacing w:before="237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7"/>
        </w:rPr>
        <w:t>(三)街道办事处职责</w:t>
      </w:r>
    </w:p>
    <w:p>
      <w:pPr>
        <w:ind w:left="59" w:right="391" w:firstLine="580"/>
        <w:spacing w:before="187" w:line="37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负责本辖区网格内控违拆违的组织领导，履行</w:t>
      </w:r>
      <w:r>
        <w:rPr>
          <w:rFonts w:ascii="FangSong" w:hAnsi="FangSong" w:eastAsia="FangSong" w:cs="FangSong"/>
          <w:sz w:val="31"/>
          <w:szCs w:val="31"/>
          <w:spacing w:val="7"/>
        </w:rPr>
        <w:t>属地管理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责任；制定控制查处违建网格化管理实施办法、制度；组织辖</w:t>
      </w:r>
    </w:p>
    <w:p>
      <w:pPr>
        <w:ind w:left="9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区内巡查、制止、上报、拆违等工作。</w:t>
      </w:r>
    </w:p>
    <w:p>
      <w:pPr>
        <w:ind w:left="794"/>
        <w:spacing w:before="21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6"/>
        </w:rPr>
        <w:t>(四)职能部门工作职责</w:t>
      </w:r>
    </w:p>
    <w:p>
      <w:pPr>
        <w:ind w:left="639"/>
        <w:spacing w:before="21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在街道办事处城管委的领导下，按照各自所适用的法律</w:t>
      </w:r>
    </w:p>
    <w:p>
      <w:pPr>
        <w:spacing w:line="219" w:lineRule="auto"/>
        <w:sectPr>
          <w:pgSz w:w="12380" w:h="17160"/>
          <w:pgMar w:top="1458" w:right="1857" w:bottom="0" w:left="180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9" w:right="464"/>
        <w:spacing w:before="204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法规，分别对违法建设进行查处；严格落实巡查机制，分片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联系各居委会，对巡查发现、举报受理、领导批示的违</w:t>
      </w:r>
      <w:r>
        <w:rPr>
          <w:rFonts w:ascii="FangSong" w:hAnsi="FangSong" w:eastAsia="FangSong" w:cs="FangSong"/>
          <w:sz w:val="31"/>
          <w:szCs w:val="31"/>
          <w:spacing w:val="6"/>
        </w:rPr>
        <w:t>法建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设自接到批示件1小时内发放书面通知；定性</w:t>
      </w:r>
      <w:r>
        <w:rPr>
          <w:rFonts w:ascii="FangSong" w:hAnsi="FangSong" w:eastAsia="FangSong" w:cs="FangSong"/>
          <w:sz w:val="31"/>
          <w:szCs w:val="31"/>
          <w:spacing w:val="12"/>
        </w:rPr>
        <w:t>违法建设，并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报请街道无违建办责成有关单位迅速采取强制拆除措施。实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施拆除过程中遇到难度较大未能完成拆除的，责任单位应及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时上报街道办分管领导，由街道办事处组织织相关部</w:t>
      </w:r>
      <w:r>
        <w:rPr>
          <w:rFonts w:ascii="FangSong" w:hAnsi="FangSong" w:eastAsia="FangSong" w:cs="FangSong"/>
          <w:sz w:val="31"/>
          <w:szCs w:val="31"/>
          <w:spacing w:val="6"/>
        </w:rPr>
        <w:t>门依法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拆除。</w:t>
      </w:r>
    </w:p>
    <w:p>
      <w:pPr>
        <w:ind w:left="674"/>
        <w:spacing w:before="289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四、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明确违法建设查处责任</w:t>
      </w:r>
    </w:p>
    <w:p>
      <w:pPr>
        <w:ind w:left="629"/>
        <w:spacing w:before="241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0"/>
        </w:rPr>
        <w:t>有下列情形之一的建筑物、构筑物及其它设施属</w:t>
      </w:r>
      <w:r>
        <w:rPr>
          <w:rFonts w:ascii="FangSong" w:hAnsi="FangSong" w:eastAsia="FangSong" w:cs="FangSong"/>
          <w:sz w:val="31"/>
          <w:szCs w:val="31"/>
          <w:spacing w:val="7"/>
          <w:position w:val="20"/>
        </w:rPr>
        <w:t>于违法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建设，依法由相应的职能部门予以查处：</w:t>
      </w:r>
    </w:p>
    <w:p>
      <w:pPr>
        <w:ind w:left="799"/>
        <w:spacing w:before="21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(一)未取得土地使用权进行建设的</w:t>
      </w:r>
    </w:p>
    <w:p>
      <w:pPr>
        <w:ind w:left="799"/>
        <w:spacing w:before="251" w:line="59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1"/>
        </w:rPr>
        <w:t>(二)未取得建设工程规划许可或未按照建设工程规划</w:t>
      </w:r>
    </w:p>
    <w:p>
      <w:pPr>
        <w:ind w:left="1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许可证的规定进行建设的</w:t>
      </w:r>
    </w:p>
    <w:p>
      <w:pPr>
        <w:ind w:left="799"/>
        <w:spacing w:before="200" w:line="64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5"/>
        </w:rPr>
        <w:t>(三)未取得乡村建设规划许可证或未按照乡村建设规</w:t>
      </w:r>
    </w:p>
    <w:p>
      <w:pPr>
        <w:ind w:left="1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划许可证规定进行建设的</w:t>
      </w:r>
    </w:p>
    <w:p>
      <w:pPr>
        <w:ind w:left="799"/>
        <w:spacing w:before="180" w:line="6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3"/>
        </w:rPr>
        <w:t>(四)未按照规定期限拆除的集镇、规划区内临时建筑</w:t>
      </w:r>
    </w:p>
    <w:p>
      <w:pPr>
        <w:ind w:left="19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物、构筑物</w:t>
      </w:r>
    </w:p>
    <w:p>
      <w:pPr>
        <w:ind w:left="799"/>
        <w:spacing w:before="201" w:line="6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6"/>
        </w:rPr>
        <w:t>(五)未取得建筑工程施工许可证或未按施工许可证要</w:t>
      </w:r>
    </w:p>
    <w:p>
      <w:pPr>
        <w:ind w:left="1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求施工的</w:t>
      </w:r>
    </w:p>
    <w:p>
      <w:pPr>
        <w:ind w:left="799"/>
        <w:spacing w:before="151" w:line="67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7"/>
        </w:rPr>
        <w:t>(六)在主次干道建筑控制区内修建建筑物、构筑物或</w:t>
      </w:r>
    </w:p>
    <w:p>
      <w:pPr>
        <w:ind w:left="1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擅自埋设管线、电缆等设施的</w:t>
      </w:r>
    </w:p>
    <w:p>
      <w:pPr>
        <w:ind w:left="799"/>
        <w:spacing w:before="169" w:line="6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6"/>
        </w:rPr>
        <w:t>(七)在河道管理范围内建设有碍防洪的建筑物、构筑</w:t>
      </w:r>
    </w:p>
    <w:p>
      <w:pPr>
        <w:ind w:left="19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物的</w:t>
      </w:r>
    </w:p>
    <w:p>
      <w:pPr>
        <w:spacing w:line="220" w:lineRule="auto"/>
        <w:sectPr>
          <w:pgSz w:w="12420" w:h="17190"/>
          <w:pgMar w:top="1461" w:right="1863" w:bottom="0" w:left="180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800"/>
        <w:spacing w:before="290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9"/>
        </w:rPr>
        <w:t>(八)其他不符合城乡规划或未经相关主管部门批准进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行建设的</w:t>
      </w:r>
    </w:p>
    <w:p>
      <w:pPr>
        <w:ind w:left="644"/>
        <w:spacing w:before="23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五、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强化工作措施</w:t>
      </w:r>
    </w:p>
    <w:p>
      <w:pPr>
        <w:ind w:left="800"/>
        <w:spacing w:before="22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0"/>
        </w:rPr>
        <w:t>(一)加大宣传力度</w:t>
      </w:r>
    </w:p>
    <w:p>
      <w:pPr>
        <w:ind w:right="516" w:firstLine="640"/>
        <w:spacing w:before="251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各居委会要加大对网格化控违拆违的宣传，通过在显著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位置张贴公告、上门入户等方式，深入宣传《中华人民共和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国城乡规划法》、《中华人民共和国土地管理法》及本通知等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相关法律法规等政策文件，营造控违拆违舆论氛围，从源头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遏制新增违建。</w:t>
      </w:r>
    </w:p>
    <w:p>
      <w:pPr>
        <w:ind w:left="804"/>
        <w:spacing w:before="23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0"/>
        </w:rPr>
        <w:t>(二)完善工作机制</w:t>
      </w:r>
    </w:p>
    <w:p>
      <w:pPr>
        <w:ind w:right="522" w:firstLine="640"/>
        <w:spacing w:before="25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一是建立巡查监管制度。各居委会按照网格化</w:t>
      </w:r>
      <w:r>
        <w:rPr>
          <w:rFonts w:ascii="FangSong" w:hAnsi="FangSong" w:eastAsia="FangSong" w:cs="FangSong"/>
          <w:sz w:val="31"/>
          <w:szCs w:val="31"/>
          <w:spacing w:val="7"/>
        </w:rPr>
        <w:t>加大巡查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力度。全天候、全区域，不定时、不定点巡查，</w:t>
      </w:r>
      <w:r>
        <w:rPr>
          <w:rFonts w:ascii="FangSong" w:hAnsi="FangSong" w:eastAsia="FangSong" w:cs="FangSong"/>
          <w:sz w:val="31"/>
          <w:szCs w:val="31"/>
          <w:spacing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一旦发现违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建苗头，第一时间制止、第一时间拆除。</w:t>
      </w:r>
    </w:p>
    <w:p>
      <w:pPr>
        <w:ind w:right="276" w:firstLine="640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二是建立完善信息报告制度。各居委会应将收集的违建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线索和信息及时上报街道办事处。无违建发生和处理情况的，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在报表上注明“无”后上报。每月报送违法建设强制拆</w:t>
      </w:r>
      <w:r>
        <w:rPr>
          <w:rFonts w:ascii="FangSong" w:hAnsi="FangSong" w:eastAsia="FangSong" w:cs="FangSong"/>
          <w:sz w:val="31"/>
          <w:szCs w:val="31"/>
          <w:spacing w:val="5"/>
        </w:rPr>
        <w:t>除视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听资料，建立控违拆违工作档案，每一处违法建设档案</w:t>
      </w:r>
      <w:r>
        <w:rPr>
          <w:rFonts w:ascii="FangSong" w:hAnsi="FangSong" w:eastAsia="FangSong" w:cs="FangSong"/>
          <w:sz w:val="31"/>
          <w:szCs w:val="31"/>
          <w:spacing w:val="5"/>
        </w:rPr>
        <w:t>都要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有违建人、违建时间、详细位置、面积数量拆除时间、拆除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工作人员等基本信息，并附有拆前、拆中拆后的现场照片，</w:t>
      </w:r>
    </w:p>
    <w:p>
      <w:pPr>
        <w:spacing w:before="23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以备查考。</w:t>
      </w:r>
    </w:p>
    <w:p>
      <w:pPr>
        <w:ind w:right="326" w:firstLine="720"/>
        <w:spacing w:before="21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三是完善督查考核制度。街道办将控制和查处违建工作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纳入绩效考核内容。对控违拆违工作成绩显著的单位和个人，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按有关文件给予表彰和奖励；对工作不力的单位和个人，视</w:t>
      </w:r>
    </w:p>
    <w:p>
      <w:pPr>
        <w:spacing w:line="220" w:lineRule="auto"/>
        <w:sectPr>
          <w:pgSz w:w="12520" w:h="17260"/>
          <w:pgMar w:top="1467" w:right="1878" w:bottom="0" w:left="184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419"/>
        <w:spacing w:before="227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情节轻重给予通报批评，限期整改，并按规定追究相应责任；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对网格化管理实施情况，由街道办牵头，每季度进行一次考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评，新发现一处违建按照《街道年终考评细则》扣分，并限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期处置，规定时间内完成处置的加分，未完成的再扣分，及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时通报结果，作为年终考核依据；资料报送未到位或不及时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的，予以通报批评，并责成限期改正，作为年终考核依据</w:t>
      </w:r>
    </w:p>
    <w:p>
      <w:pPr>
        <w:ind w:left="784"/>
        <w:spacing w:before="22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9"/>
        </w:rPr>
        <w:t>(三)创新工作模式</w:t>
      </w:r>
    </w:p>
    <w:p>
      <w:pPr>
        <w:ind w:right="419" w:firstLine="649"/>
        <w:spacing w:before="263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一是设立智能化管理平台用于无违建管理工作。街道办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分管领导、居委会负责人，相关部门单位的主管领导、执法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人员等加入智能管理平台，加强横向与纵向沟通联系。高效、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便捷地开展禁违工作。</w:t>
      </w:r>
    </w:p>
    <w:p>
      <w:pPr>
        <w:ind w:right="399" w:firstLine="649"/>
        <w:spacing w:before="241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二是各居委会分别实施</w:t>
      </w:r>
      <w:r>
        <w:rPr>
          <w:rFonts w:ascii="SimSun" w:hAnsi="SimSun" w:eastAsia="SimSun" w:cs="SimSun"/>
          <w:sz w:val="31"/>
          <w:szCs w:val="31"/>
          <w:spacing w:val="14"/>
        </w:rPr>
        <w:t>A、B </w:t>
      </w:r>
      <w:r>
        <w:rPr>
          <w:rFonts w:ascii="FangSong" w:hAnsi="FangSong" w:eastAsia="FangSong" w:cs="FangSong"/>
          <w:sz w:val="31"/>
          <w:szCs w:val="31"/>
          <w:spacing w:val="14"/>
        </w:rPr>
        <w:t>岗交叉监督</w:t>
      </w:r>
      <w:r>
        <w:rPr>
          <w:rFonts w:ascii="FangSong" w:hAnsi="FangSong" w:eastAsia="FangSong" w:cs="FangSong"/>
          <w:sz w:val="31"/>
          <w:szCs w:val="31"/>
          <w:spacing w:val="13"/>
        </w:rPr>
        <w:t>巡查，相互督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促、相互制约、有违必报、有报必查、查实必</w:t>
      </w:r>
      <w:r>
        <w:rPr>
          <w:rFonts w:ascii="FangSong" w:hAnsi="FangSong" w:eastAsia="FangSong" w:cs="FangSong"/>
          <w:sz w:val="31"/>
          <w:szCs w:val="31"/>
          <w:spacing w:val="-1"/>
        </w:rPr>
        <w:t>拆，以拆促控，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实现巡查控违过程无死角无盲区、横到边、纵到底。</w:t>
      </w:r>
    </w:p>
    <w:p>
      <w:pPr>
        <w:ind w:left="649"/>
        <w:spacing w:before="23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附件：南辛庄街道整治违法违章建设工作专班成员名单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5490"/>
        <w:spacing w:before="102" w:line="64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5"/>
        </w:rPr>
        <w:t>南辛庄街道办事处</w:t>
      </w:r>
    </w:p>
    <w:p>
      <w:pPr>
        <w:ind w:left="5449"/>
        <w:spacing w:before="1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5"/>
        </w:rPr>
        <w:t>2</w:t>
      </w:r>
      <w:r>
        <w:rPr>
          <w:rFonts w:ascii="FangSong" w:hAnsi="FangSong" w:eastAsia="FangSong" w:cs="FangSong"/>
          <w:sz w:val="26"/>
          <w:szCs w:val="26"/>
          <w:spacing w:val="-29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0</w:t>
      </w:r>
      <w:r>
        <w:rPr>
          <w:rFonts w:ascii="FangSong" w:hAnsi="FangSong" w:eastAsia="FangSong" w:cs="FangSong"/>
          <w:sz w:val="26"/>
          <w:szCs w:val="26"/>
          <w:spacing w:val="-29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2</w:t>
      </w:r>
      <w:r>
        <w:rPr>
          <w:rFonts w:ascii="FangSong" w:hAnsi="FangSong" w:eastAsia="FangSong" w:cs="FangSong"/>
          <w:sz w:val="26"/>
          <w:szCs w:val="26"/>
          <w:spacing w:val="-34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4</w:t>
      </w:r>
      <w:r>
        <w:rPr>
          <w:rFonts w:ascii="FangSong" w:hAnsi="FangSong" w:eastAsia="FangSong" w:cs="FangSong"/>
          <w:sz w:val="26"/>
          <w:szCs w:val="26"/>
          <w:spacing w:val="-20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年</w:t>
      </w:r>
      <w:r>
        <w:rPr>
          <w:rFonts w:ascii="FangSong" w:hAnsi="FangSong" w:eastAsia="FangSong" w:cs="FangSong"/>
          <w:sz w:val="26"/>
          <w:szCs w:val="26"/>
          <w:spacing w:val="-15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1</w:t>
      </w:r>
      <w:r>
        <w:rPr>
          <w:rFonts w:ascii="FangSong" w:hAnsi="FangSong" w:eastAsia="FangSong" w:cs="FangSong"/>
          <w:sz w:val="26"/>
          <w:szCs w:val="26"/>
          <w:spacing w:val="-15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月</w:t>
      </w:r>
      <w:r>
        <w:rPr>
          <w:rFonts w:ascii="FangSong" w:hAnsi="FangSong" w:eastAsia="FangSong" w:cs="FangSong"/>
          <w:sz w:val="26"/>
          <w:szCs w:val="26"/>
          <w:spacing w:val="-29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2</w:t>
      </w:r>
      <w:r>
        <w:rPr>
          <w:rFonts w:ascii="FangSong" w:hAnsi="FangSong" w:eastAsia="FangSong" w:cs="FangSong"/>
          <w:sz w:val="26"/>
          <w:szCs w:val="26"/>
          <w:spacing w:val="-2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3</w:t>
      </w:r>
      <w:r>
        <w:rPr>
          <w:rFonts w:ascii="FangSong" w:hAnsi="FangSong" w:eastAsia="FangSong" w:cs="FangSong"/>
          <w:sz w:val="26"/>
          <w:szCs w:val="26"/>
          <w:spacing w:val="30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日</w:t>
      </w:r>
    </w:p>
    <w:p>
      <w:pPr>
        <w:spacing w:line="222" w:lineRule="auto"/>
        <w:sectPr>
          <w:pgSz w:w="12440" w:h="17200"/>
          <w:pgMar w:top="1461" w:right="1866" w:bottom="0" w:left="181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ind w:left="876"/>
        <w:spacing w:before="102" w:line="593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1"/>
        </w:rPr>
        <w:t>南辛庄街道整治违法违章建设工作</w:t>
      </w:r>
    </w:p>
    <w:p>
      <w:pPr>
        <w:ind w:left="2626"/>
        <w:spacing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4"/>
        </w:rPr>
        <w:t>专班成员名单</w:t>
      </w: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19"/>
        <w:rPr/>
      </w:pPr>
      <w:r/>
    </w:p>
    <w:tbl>
      <w:tblPr>
        <w:tblStyle w:val="TableNormal"/>
        <w:tblW w:w="7014" w:type="dxa"/>
        <w:tblInd w:w="59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83"/>
        <w:gridCol w:w="4631"/>
      </w:tblGrid>
      <w:tr>
        <w:trPr>
          <w:trHeight w:val="469" w:hRule="atLeast"/>
        </w:trPr>
        <w:tc>
          <w:tcPr>
            <w:tcW w:w="2383" w:type="dxa"/>
            <w:vAlign w:val="top"/>
          </w:tcPr>
          <w:p>
            <w:pPr>
              <w:pStyle w:val="TableText"/>
              <w:spacing w:before="1" w:line="221" w:lineRule="auto"/>
              <w:rPr/>
            </w:pPr>
            <w:r>
              <w:rPr>
                <w:spacing w:val="6"/>
              </w:rPr>
              <w:t>组</w:t>
            </w:r>
            <w:r>
              <w:rPr>
                <w:spacing w:val="6"/>
              </w:rPr>
              <w:t xml:space="preserve">  </w:t>
            </w:r>
            <w:r>
              <w:rPr>
                <w:spacing w:val="6"/>
              </w:rPr>
              <w:t>长：杨国庆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line="222" w:lineRule="auto"/>
              <w:rPr/>
            </w:pPr>
            <w:r>
              <w:rPr>
                <w:spacing w:val="9"/>
              </w:rPr>
              <w:t>街道党工委书记</w:t>
            </w:r>
          </w:p>
        </w:tc>
      </w:tr>
      <w:tr>
        <w:trPr>
          <w:trHeight w:val="604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1280"/>
              <w:spacing w:before="152" w:line="222" w:lineRule="auto"/>
              <w:rPr/>
            </w:pPr>
            <w:r>
              <w:rPr>
                <w:spacing w:val="13"/>
              </w:rPr>
              <w:t>陈俊州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spacing w:before="152" w:line="222" w:lineRule="auto"/>
              <w:jc w:val="right"/>
              <w:rPr/>
            </w:pPr>
            <w:r>
              <w:rPr>
                <w:spacing w:val="8"/>
              </w:rPr>
              <w:t>街道党工委副书记、办事处主任</w:t>
            </w:r>
          </w:p>
        </w:tc>
      </w:tr>
      <w:tr>
        <w:trPr>
          <w:trHeight w:val="595" w:hRule="atLeast"/>
        </w:trPr>
        <w:tc>
          <w:tcPr>
            <w:tcW w:w="2383" w:type="dxa"/>
            <w:vAlign w:val="top"/>
          </w:tcPr>
          <w:p>
            <w:pPr>
              <w:pStyle w:val="TableText"/>
              <w:spacing w:before="133" w:line="222" w:lineRule="auto"/>
              <w:rPr/>
            </w:pPr>
            <w:r>
              <w:rPr>
                <w:spacing w:val="7"/>
              </w:rPr>
              <w:t>副组长：王志华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before="134" w:line="220" w:lineRule="auto"/>
              <w:rPr/>
            </w:pPr>
            <w:r>
              <w:rPr>
                <w:spacing w:val="5"/>
              </w:rPr>
              <w:t>街道纪检监察工委书记</w:t>
            </w:r>
          </w:p>
        </w:tc>
      </w:tr>
      <w:tr>
        <w:trPr>
          <w:trHeight w:val="602" w:hRule="atLeast"/>
        </w:trPr>
        <w:tc>
          <w:tcPr>
            <w:tcW w:w="2383" w:type="dxa"/>
            <w:vAlign w:val="top"/>
          </w:tcPr>
          <w:p>
            <w:pPr>
              <w:pStyle w:val="TableText"/>
              <w:spacing w:before="143" w:line="222" w:lineRule="auto"/>
              <w:rPr/>
            </w:pPr>
            <w:r>
              <w:rPr>
                <w:spacing w:val="2"/>
              </w:rPr>
              <w:t>成</w:t>
            </w:r>
            <w:r>
              <w:rPr>
                <w:spacing w:val="18"/>
              </w:rPr>
              <w:t xml:space="preserve">  </w:t>
            </w:r>
            <w:r>
              <w:rPr>
                <w:spacing w:val="2"/>
              </w:rPr>
              <w:t>员：秦子瑜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before="143" w:line="222" w:lineRule="auto"/>
              <w:rPr/>
            </w:pPr>
            <w:r>
              <w:rPr>
                <w:spacing w:val="7"/>
              </w:rPr>
              <w:t>执法中队中队长</w:t>
            </w:r>
          </w:p>
        </w:tc>
      </w:tr>
      <w:tr>
        <w:trPr>
          <w:trHeight w:val="605" w:hRule="atLeast"/>
        </w:trPr>
        <w:tc>
          <w:tcPr>
            <w:tcW w:w="2383" w:type="dxa"/>
            <w:vAlign w:val="top"/>
          </w:tcPr>
          <w:p>
            <w:pPr>
              <w:ind w:left="1280"/>
              <w:spacing w:before="14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7"/>
              </w:rPr>
              <w:t>潘</w:t>
            </w:r>
            <w:r>
              <w:rPr>
                <w:rFonts w:ascii="SimSun" w:hAnsi="SimSun" w:eastAsia="SimSun" w:cs="SimSun"/>
                <w:sz w:val="31"/>
                <w:szCs w:val="31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31"/>
                <w:szCs w:val="31"/>
                <w:spacing w:val="-7"/>
              </w:rPr>
              <w:t>海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before="141" w:line="222" w:lineRule="auto"/>
              <w:rPr/>
            </w:pPr>
            <w:r>
              <w:rPr>
                <w:spacing w:val="9"/>
              </w:rPr>
              <w:t>环卫所所长</w:t>
            </w:r>
          </w:p>
        </w:tc>
      </w:tr>
      <w:tr>
        <w:trPr>
          <w:trHeight w:val="600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1280"/>
              <w:spacing w:before="146" w:line="223" w:lineRule="auto"/>
              <w:rPr/>
            </w:pPr>
            <w:r>
              <w:rPr>
                <w:spacing w:val="5"/>
              </w:rPr>
              <w:t>王振楠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before="146" w:line="222" w:lineRule="auto"/>
              <w:rPr/>
            </w:pPr>
            <w:r>
              <w:rPr>
                <w:spacing w:val="6"/>
              </w:rPr>
              <w:t>街道办事处城管办负责人</w:t>
            </w:r>
          </w:p>
        </w:tc>
      </w:tr>
      <w:tr>
        <w:trPr>
          <w:trHeight w:val="603" w:hRule="atLeast"/>
        </w:trPr>
        <w:tc>
          <w:tcPr>
            <w:tcW w:w="2383" w:type="dxa"/>
            <w:vAlign w:val="top"/>
          </w:tcPr>
          <w:p>
            <w:pPr>
              <w:ind w:left="1280"/>
              <w:spacing w:before="136" w:line="228" w:lineRule="auto"/>
              <w:rPr>
                <w:rFonts w:ascii="YouYuan" w:hAnsi="YouYuan" w:eastAsia="YouYuan" w:cs="YouYuan"/>
                <w:sz w:val="31"/>
                <w:szCs w:val="31"/>
              </w:rPr>
            </w:pPr>
            <w:r>
              <w:rPr>
                <w:rFonts w:ascii="YouYuan" w:hAnsi="YouYuan" w:eastAsia="YouYuan" w:cs="YouYuan"/>
                <w:sz w:val="31"/>
                <w:szCs w:val="31"/>
                <w:spacing w:val="-3"/>
              </w:rPr>
              <w:t>孔</w:t>
            </w:r>
            <w:r>
              <w:rPr>
                <w:rFonts w:ascii="YouYuan" w:hAnsi="YouYuan" w:eastAsia="YouYuan" w:cs="YouYuan"/>
                <w:sz w:val="31"/>
                <w:szCs w:val="31"/>
                <w:spacing w:val="-3"/>
              </w:rPr>
              <w:t xml:space="preserve">  </w:t>
            </w:r>
            <w:r>
              <w:rPr>
                <w:rFonts w:ascii="YouYuan" w:hAnsi="YouYuan" w:eastAsia="YouYuan" w:cs="YouYuan"/>
                <w:sz w:val="31"/>
                <w:szCs w:val="31"/>
                <w:spacing w:val="-3"/>
              </w:rPr>
              <w:t>玉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before="136" w:line="222" w:lineRule="auto"/>
              <w:rPr/>
            </w:pPr>
            <w:r>
              <w:rPr>
                <w:spacing w:val="4"/>
              </w:rPr>
              <w:t>北街社区党委书记</w:t>
            </w:r>
          </w:p>
        </w:tc>
      </w:tr>
      <w:tr>
        <w:trPr>
          <w:trHeight w:val="600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1280"/>
              <w:spacing w:before="129" w:line="220" w:lineRule="auto"/>
              <w:rPr/>
            </w:pPr>
            <w:r>
              <w:rPr>
                <w:spacing w:val="15"/>
              </w:rPr>
              <w:t>韩文花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before="128" w:line="222" w:lineRule="auto"/>
              <w:rPr/>
            </w:pPr>
            <w:r>
              <w:rPr>
                <w:spacing w:val="7"/>
              </w:rPr>
              <w:t>南辛苑社区党委书记</w:t>
            </w:r>
          </w:p>
        </w:tc>
      </w:tr>
      <w:tr>
        <w:trPr>
          <w:trHeight w:val="607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1280"/>
              <w:spacing w:before="153" w:line="222" w:lineRule="auto"/>
              <w:rPr/>
            </w:pPr>
            <w:r>
              <w:rPr>
                <w:spacing w:val="3"/>
              </w:rPr>
              <w:t>王晓峰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before="153" w:line="223" w:lineRule="auto"/>
              <w:rPr/>
            </w:pPr>
            <w:r>
              <w:rPr>
                <w:spacing w:val="4"/>
              </w:rPr>
              <w:t>东路社区党委书记</w:t>
            </w:r>
          </w:p>
        </w:tc>
      </w:tr>
      <w:tr>
        <w:trPr>
          <w:trHeight w:val="594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1280"/>
              <w:spacing w:before="137" w:line="223" w:lineRule="auto"/>
              <w:rPr/>
            </w:pPr>
            <w:r>
              <w:rPr>
                <w:spacing w:val="-14"/>
              </w:rPr>
              <w:t>夏</w:t>
            </w:r>
            <w:r>
              <w:rPr>
                <w:spacing w:val="13"/>
              </w:rPr>
              <w:t xml:space="preserve">  </w:t>
            </w:r>
            <w:r>
              <w:rPr>
                <w:spacing w:val="-14"/>
              </w:rPr>
              <w:t>雪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before="137" w:line="223" w:lineRule="auto"/>
              <w:rPr/>
            </w:pPr>
            <w:r>
              <w:rPr>
                <w:spacing w:val="4"/>
              </w:rPr>
              <w:t>欣园社区党委书记</w:t>
            </w:r>
          </w:p>
        </w:tc>
      </w:tr>
      <w:tr>
        <w:trPr>
          <w:trHeight w:val="598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1280"/>
              <w:spacing w:before="139" w:line="222" w:lineRule="auto"/>
              <w:rPr/>
            </w:pPr>
            <w:r>
              <w:rPr>
                <w:spacing w:val="-6"/>
              </w:rPr>
              <w:t>王维芳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27"/>
              <w:spacing w:before="139" w:line="221" w:lineRule="auto"/>
              <w:rPr/>
            </w:pPr>
            <w:r>
              <w:rPr>
                <w:spacing w:val="12"/>
              </w:rPr>
              <w:t>济微路社区党委书记</w:t>
            </w:r>
          </w:p>
        </w:tc>
      </w:tr>
      <w:tr>
        <w:trPr>
          <w:trHeight w:val="596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1280"/>
              <w:spacing w:before="141" w:line="221" w:lineRule="auto"/>
              <w:rPr/>
            </w:pPr>
            <w:r>
              <w:rPr>
                <w:spacing w:val="13"/>
              </w:rPr>
              <w:t>刘宏艳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67"/>
              <w:spacing w:before="141" w:line="222" w:lineRule="auto"/>
              <w:rPr/>
            </w:pPr>
            <w:r>
              <w:rPr>
                <w:spacing w:val="7"/>
              </w:rPr>
              <w:t>辛西路社区党委书记</w:t>
            </w:r>
          </w:p>
        </w:tc>
      </w:tr>
      <w:tr>
        <w:trPr>
          <w:trHeight w:val="454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1280"/>
              <w:spacing w:before="136" w:line="183" w:lineRule="auto"/>
              <w:rPr/>
            </w:pPr>
            <w:r>
              <w:rPr>
                <w:spacing w:val="13"/>
              </w:rPr>
              <w:t>李民峰</w:t>
            </w:r>
          </w:p>
        </w:tc>
        <w:tc>
          <w:tcPr>
            <w:tcW w:w="4631" w:type="dxa"/>
            <w:vAlign w:val="top"/>
          </w:tcPr>
          <w:p>
            <w:pPr>
              <w:pStyle w:val="TableText"/>
              <w:ind w:left="157"/>
              <w:spacing w:before="136" w:line="183" w:lineRule="auto"/>
              <w:rPr/>
            </w:pPr>
            <w:r>
              <w:rPr>
                <w:spacing w:val="10"/>
              </w:rPr>
              <w:t>街道办事处城管科联络员</w:t>
            </w:r>
          </w:p>
        </w:tc>
      </w:tr>
    </w:tbl>
    <w:p>
      <w:pPr>
        <w:ind w:right="415" w:firstLine="599"/>
        <w:spacing w:before="252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工作专班下设办公室，负责统筹指导违法违章建</w:t>
      </w:r>
      <w:r>
        <w:rPr>
          <w:rFonts w:ascii="FangSong" w:hAnsi="FangSong" w:eastAsia="FangSong" w:cs="FangSong"/>
          <w:sz w:val="31"/>
          <w:szCs w:val="31"/>
          <w:spacing w:val="7"/>
        </w:rPr>
        <w:t>设整治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工作组织开展，办公室设在街道城管办公室，王振楠同志兼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任办公室主任。对顶风抢建、突击抢建的违法行为，坚决从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重从快予以打击，切实维护城乡建设的正常管理秩序，实现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对违法违章建设“零容忍、零增长”的目标，各成员单位各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司其职做好无违建工作职责范围内相关工作。</w:t>
      </w:r>
    </w:p>
    <w:sectPr>
      <w:pgSz w:w="12350" w:h="17140"/>
      <w:pgMar w:top="1456" w:right="1852" w:bottom="0" w:left="18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2024-03-18T08:43:46Z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2024-03-18T08:43:47</vt:filetime>
  </property>
  <property fmtid="{D5CDD505-2E9C-101B-9397-08002B2CF9AE}" pid="4" name="UsrData">
    <vt:lpwstr>65f78e3e061220001f5455e6wl</vt:lpwstr>
  </property>
</Properties>
</file>