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eastAsia="zh-Hans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highlight w:val="none"/>
          <w:shd w:val="clear" w:color="auto" w:fill="FFFFFF"/>
          <w:lang w:val="en-US" w:eastAsia="zh-Hans"/>
        </w:rPr>
        <w:t>附件</w:t>
      </w:r>
      <w:r>
        <w:rPr>
          <w:rFonts w:hint="default" w:ascii="仿宋_GB2312" w:hAnsi="仿宋_GB2312" w:eastAsia="仿宋_GB2312" w:cs="仿宋_GB2312"/>
          <w:color w:val="auto"/>
          <w:spacing w:val="5"/>
          <w:sz w:val="32"/>
          <w:szCs w:val="32"/>
          <w:highlight w:val="none"/>
          <w:shd w:val="clear" w:color="auto" w:fill="FFFFFF"/>
          <w:lang w:eastAsia="zh-Hans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highlight w:val="none"/>
          <w:shd w:val="clear" w:color="auto" w:fill="FFFFFF"/>
          <w:lang w:eastAsia="zh-Hans"/>
        </w:rPr>
        <w:t>：</w:t>
      </w:r>
    </w:p>
    <w:p>
      <w:pPr>
        <w:pStyle w:val="2"/>
        <w:rPr>
          <w:rFonts w:hint="eastAsia"/>
          <w:color w:val="auto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5"/>
          <w:sz w:val="40"/>
          <w:szCs w:val="40"/>
          <w:shd w:val="clear" w:color="auto" w:fill="FFFFFF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5"/>
          <w:sz w:val="40"/>
          <w:szCs w:val="40"/>
          <w:shd w:val="clear" w:color="auto" w:fill="FFFFFF"/>
          <w:lang w:val="en-US" w:eastAsia="zh-Hans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5"/>
          <w:sz w:val="40"/>
          <w:szCs w:val="40"/>
          <w:shd w:val="clear" w:color="auto" w:fill="FFFFFF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5"/>
          <w:sz w:val="40"/>
          <w:szCs w:val="40"/>
          <w:shd w:val="clear" w:color="auto" w:fill="FFFFFF"/>
          <w:lang w:val="en-US" w:eastAsia="zh-Hans"/>
        </w:rPr>
        <w:t>年济南市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5"/>
          <w:sz w:val="40"/>
          <w:szCs w:val="40"/>
          <w:shd w:val="clear" w:color="auto" w:fill="FFFFFF"/>
          <w:lang w:val="en-US" w:eastAsia="zh-CN"/>
        </w:rPr>
        <w:t>槐荫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5"/>
          <w:sz w:val="40"/>
          <w:szCs w:val="40"/>
          <w:shd w:val="clear" w:color="auto" w:fill="FFFFFF"/>
          <w:lang w:val="en-US" w:eastAsia="zh-Hans"/>
        </w:rPr>
        <w:t>区村（社区）退役军人专职联络员招考计划表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2835"/>
        <w:gridCol w:w="1485"/>
        <w:gridCol w:w="4125"/>
        <w:gridCol w:w="3720"/>
        <w:gridCol w:w="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  <w:shd w:val="clear" w:color="auto" w:fill="FFFFFF"/>
                <w:lang w:val="en-US" w:eastAsia="zh-Hans"/>
              </w:rPr>
              <w:t>序号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Hans"/>
              </w:rPr>
              <w:t>报考岗位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Hans"/>
              </w:rPr>
              <w:t>招考数量</w:t>
            </w:r>
          </w:p>
        </w:tc>
        <w:tc>
          <w:tcPr>
            <w:tcW w:w="4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年龄要求</w:t>
            </w:r>
          </w:p>
        </w:tc>
        <w:tc>
          <w:tcPr>
            <w:tcW w:w="3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Hans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退役军人专职联络员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14</w:t>
            </w:r>
          </w:p>
        </w:tc>
        <w:tc>
          <w:tcPr>
            <w:tcW w:w="4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35周岁以下（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Hans"/>
              </w:rPr>
              <w:t>198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Hans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Hans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Hans"/>
              </w:rPr>
              <w:t>日以后出生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退役军人和烈属军属等优抚对象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Hans"/>
              </w:rPr>
              <w:t>年龄可放宽至40岁（198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Hans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Hans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Hans"/>
              </w:rPr>
              <w:t>日以后出生）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Hans"/>
              </w:rPr>
              <w:t>国家承认的大学专科（含专科）以上文化程度，专业不限；退役军人和烈属军属等优抚对象学历可放宽至高中（含中专、中职）文化程度。</w:t>
            </w:r>
          </w:p>
        </w:tc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EF222A"/>
    <w:rsid w:val="0FED7C19"/>
    <w:rsid w:val="29D865A3"/>
    <w:rsid w:val="3565318B"/>
    <w:rsid w:val="3ADE6B07"/>
    <w:rsid w:val="62EF222A"/>
    <w:rsid w:val="64D62135"/>
    <w:rsid w:val="715151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2020-12-16T01:35:00Z</dcterms:created>
  <dc:creator>崔崔</dc:creator>
  <cp:lastModifiedBy>崔崔</cp:lastModifiedBy>
  <dcterms:modified xsi:type="dcterms:W3CDTF">2021-01-16T11:45:48Z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