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DEE5">
      <w:pPr>
        <w:keepNext w:val="0"/>
        <w:keepLines w:val="0"/>
        <w:pageBreakBefore w:val="0"/>
        <w:numPr>
          <w:ilvl w:val="0"/>
          <w:numId w:val="0"/>
        </w:numPr>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附件2：</w:t>
      </w:r>
    </w:p>
    <w:p w14:paraId="5BA61A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073DC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用人单位按比例安排残疾人就业</w:t>
      </w:r>
    </w:p>
    <w:p w14:paraId="1F3C6EFA">
      <w:pPr>
        <w:keepNext w:val="0"/>
        <w:keepLines w:val="0"/>
        <w:pageBreakBefore w:val="0"/>
        <w:numPr>
          <w:ilvl w:val="0"/>
          <w:numId w:val="0"/>
        </w:numPr>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rPr>
        <w:t>审核</w:t>
      </w:r>
      <w:r>
        <w:rPr>
          <w:rFonts w:hint="eastAsia" w:ascii="方正小标宋简体" w:hAnsi="方正小标宋简体" w:eastAsia="方正小标宋简体" w:cs="方正小标宋简体"/>
          <w:sz w:val="44"/>
          <w:szCs w:val="44"/>
          <w:highlight w:val="none"/>
          <w:lang w:val="en-US" w:eastAsia="zh-CN"/>
        </w:rPr>
        <w:t>流程</w:t>
      </w:r>
    </w:p>
    <w:p w14:paraId="66467F74">
      <w:pPr>
        <w:keepNext w:val="0"/>
        <w:keepLines w:val="0"/>
        <w:pageBreakBefore w:val="0"/>
        <w:numPr>
          <w:ilvl w:val="0"/>
          <w:numId w:val="0"/>
        </w:numPr>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62288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槐荫辖区内用人单位通过网上申报残疾人就业信息或提交材料现场办理审核残疾人就业信息，残疾人就业服务机构通过“全国残疾人按比例就业情况联网认证”系统审核用人单位上年实际安排的残疾人就业人数，并将认定数据推送给税务机关。</w:t>
      </w:r>
    </w:p>
    <w:p w14:paraId="2EDEBFDF">
      <w:pPr>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一、申报方式</w:t>
      </w:r>
    </w:p>
    <w:p w14:paraId="65D3E1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Cs/>
          <w:color w:val="000000"/>
          <w:sz w:val="32"/>
          <w:szCs w:val="32"/>
          <w:lang w:val="en-US" w:eastAsia="zh-CN"/>
        </w:rPr>
        <w:t>网上申报</w:t>
      </w:r>
    </w:p>
    <w:p w14:paraId="729F10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kern w:val="0"/>
          <w:sz w:val="32"/>
          <w:szCs w:val="32"/>
        </w:rPr>
        <w:t>登录“山东省残疾人联合会”网站（www.sddpf.org.cn），</w:t>
      </w:r>
      <w:r>
        <w:rPr>
          <w:rFonts w:hint="eastAsia" w:ascii="仿宋_GB2312" w:hAnsi="仿宋_GB2312" w:eastAsia="仿宋_GB2312" w:cs="仿宋_GB2312"/>
          <w:kern w:val="0"/>
          <w:sz w:val="32"/>
          <w:szCs w:val="32"/>
          <w:lang w:val="en-US" w:eastAsia="zh-CN"/>
        </w:rPr>
        <w:t>在网站</w:t>
      </w:r>
      <w:r>
        <w:rPr>
          <w:rFonts w:hint="eastAsia" w:ascii="仿宋_GB2312" w:hAnsi="仿宋_GB2312" w:eastAsia="仿宋_GB2312" w:cs="仿宋_GB2312"/>
          <w:kern w:val="0"/>
          <w:sz w:val="32"/>
          <w:szCs w:val="32"/>
        </w:rPr>
        <w:t>首页“办事服务”下点击“就业申报”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跳转到系统申报页面后使用法人用户登录</w:t>
      </w:r>
      <w:r>
        <w:rPr>
          <w:rFonts w:hint="eastAsia" w:ascii="仿宋_GB2312" w:hAnsi="仿宋_GB2312" w:eastAsia="仿宋_GB2312" w:cs="仿宋_GB2312"/>
          <w:sz w:val="32"/>
          <w:szCs w:val="32"/>
        </w:rPr>
        <w:t>。</w:t>
      </w:r>
    </w:p>
    <w:p w14:paraId="70D298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sz w:val="32"/>
          <w:szCs w:val="32"/>
          <w:lang w:eastAsia="zh-CN"/>
        </w:rPr>
        <w:t>用人单位注册（首次办理用户需要）、登录系统后，按系统提示进行填报，系统将自动进行比对，通过的信息无需另行提交资料，无法通过的信息需上传原件扫描件。</w:t>
      </w:r>
    </w:p>
    <w:p w14:paraId="0E6BFF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bCs/>
          <w:color w:val="000000"/>
          <w:sz w:val="32"/>
          <w:szCs w:val="32"/>
          <w:lang w:val="en-US" w:eastAsia="zh-CN"/>
        </w:rPr>
        <w:t>（二）窗口申报</w:t>
      </w:r>
    </w:p>
    <w:p w14:paraId="0D0506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槐荫区残疾人劳动就业管理服务中心。</w:t>
      </w:r>
    </w:p>
    <w:p w14:paraId="0052CD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地址：济南市槐荫区经六路538号（槐荫区文体中心8楼802室）</w:t>
      </w:r>
    </w:p>
    <w:p w14:paraId="26DB4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咨询电话：0531-87589739；15726124105</w:t>
      </w:r>
    </w:p>
    <w:p w14:paraId="4C22C7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（1）经十路公交路线：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乘</w:t>
      </w:r>
      <w:r>
        <w:rPr>
          <w:rFonts w:hint="eastAsia" w:ascii="仿宋_GB2312" w:hAnsi="仿宋_GB2312" w:eastAsia="仿宋_GB2312" w:cs="仿宋_GB2312"/>
          <w:color w:val="000000" w:themeColor="text1"/>
          <w:sz w:val="32"/>
          <w:szCs w:val="32"/>
          <w:lang w:eastAsia="zh-CN"/>
          <w14:textFill>
            <w14:solidFill>
              <w14:schemeClr w14:val="tx1"/>
            </w14:solidFill>
          </w14:textFill>
        </w:rPr>
        <w:t>K6路、K20路、K22路、K27路、K42路、K38路、K56路、K81路、B98路、K109路、K117路、K118路、K126路、K133路、B164路、K202路、K216路、T3路、T202路、T29路到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经十路营市街</w:t>
      </w:r>
      <w:r>
        <w:rPr>
          <w:rFonts w:hint="eastAsia" w:ascii="仿宋_GB2312" w:hAnsi="仿宋_GB2312" w:eastAsia="仿宋_GB2312" w:cs="仿宋_GB2312"/>
          <w:color w:val="000000" w:themeColor="text1"/>
          <w:sz w:val="32"/>
          <w:szCs w:val="32"/>
          <w:lang w:eastAsia="zh-CN"/>
          <w14:textFill>
            <w14:solidFill>
              <w14:schemeClr w14:val="tx1"/>
            </w14:solidFill>
          </w14:textFill>
        </w:rPr>
        <w:t>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（济南市第五人民医院）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下车，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麦当劳路口</w:t>
      </w:r>
      <w:r>
        <w:rPr>
          <w:rFonts w:hint="eastAsia" w:ascii="仿宋_GB2312" w:hAnsi="仿宋_GB2312" w:eastAsia="仿宋_GB2312" w:cs="仿宋_GB2312"/>
          <w:color w:val="000000" w:themeColor="text1"/>
          <w:sz w:val="32"/>
          <w:szCs w:val="32"/>
          <w:lang w:eastAsia="zh-CN"/>
          <w14:textFill>
            <w14:solidFill>
              <w14:schemeClr w14:val="tx1"/>
            </w14:solidFill>
          </w14:textFill>
        </w:rPr>
        <w:t>北行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lang w:eastAsia="zh-CN"/>
          <w14:textFill>
            <w14:solidFill>
              <w14:schemeClr w14:val="tx1"/>
            </w14:solidFill>
          </w14:textFill>
        </w:rPr>
        <w:t>米路东。）</w:t>
      </w:r>
    </w:p>
    <w:p w14:paraId="541587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（2）经六路公交路线：</w:t>
      </w:r>
      <w:r>
        <w:rPr>
          <w:rFonts w:hint="eastAsia" w:ascii="仿宋_GB2312" w:hAnsi="仿宋_GB2312" w:eastAsia="仿宋_GB2312" w:cs="仿宋_GB2312"/>
          <w:color w:val="000000" w:themeColor="text1"/>
          <w:sz w:val="32"/>
          <w:szCs w:val="32"/>
          <w:lang w:eastAsia="zh-CN"/>
          <w14:textFill>
            <w14:solidFill>
              <w14:schemeClr w14:val="tx1"/>
            </w14:solidFill>
          </w14:textFill>
        </w:rPr>
        <w:t>（乘19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K</w:t>
      </w:r>
      <w:r>
        <w:rPr>
          <w:rFonts w:hint="eastAsia" w:ascii="仿宋_GB2312" w:hAnsi="仿宋_GB2312" w:eastAsia="仿宋_GB2312" w:cs="仿宋_GB2312"/>
          <w:color w:val="000000" w:themeColor="text1"/>
          <w:sz w:val="32"/>
          <w:szCs w:val="32"/>
          <w:lang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、K58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K</w:t>
      </w:r>
      <w:r>
        <w:rPr>
          <w:rFonts w:hint="eastAsia" w:ascii="仿宋_GB2312" w:hAnsi="仿宋_GB2312" w:eastAsia="仿宋_GB2312" w:cs="仿宋_GB2312"/>
          <w:color w:val="000000" w:themeColor="text1"/>
          <w:sz w:val="32"/>
          <w:szCs w:val="32"/>
          <w:lang w:eastAsia="zh-CN"/>
          <w14:textFill>
            <w14:solidFill>
              <w14:schemeClr w14:val="tx1"/>
            </w14:solidFill>
          </w14:textFill>
        </w:rPr>
        <w:t>118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K</w:t>
      </w:r>
      <w:r>
        <w:rPr>
          <w:rFonts w:hint="eastAsia" w:ascii="仿宋_GB2312" w:hAnsi="仿宋_GB2312" w:eastAsia="仿宋_GB2312" w:cs="仿宋_GB2312"/>
          <w:color w:val="000000" w:themeColor="text1"/>
          <w:sz w:val="32"/>
          <w:szCs w:val="32"/>
          <w:lang w:eastAsia="zh-CN"/>
          <w14:textFill>
            <w14:solidFill>
              <w14:schemeClr w14:val="tx1"/>
            </w14:solidFill>
          </w14:textFill>
        </w:rPr>
        <w:t>126路到经六路营市东街站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营市街北口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下车，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红绿灯路口</w:t>
      </w:r>
      <w:r>
        <w:rPr>
          <w:rFonts w:hint="eastAsia" w:ascii="仿宋_GB2312" w:hAnsi="仿宋_GB2312" w:eastAsia="仿宋_GB2312" w:cs="仿宋_GB2312"/>
          <w:color w:val="000000" w:themeColor="text1"/>
          <w:sz w:val="32"/>
          <w:szCs w:val="32"/>
          <w:lang w:eastAsia="zh-CN"/>
          <w14:textFill>
            <w14:solidFill>
              <w14:schemeClr w14:val="tx1"/>
            </w14:solidFill>
          </w14:textFill>
        </w:rPr>
        <w:t>南行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lang w:eastAsia="zh-CN"/>
          <w14:textFill>
            <w14:solidFill>
              <w14:schemeClr w14:val="tx1"/>
            </w14:solidFill>
          </w14:textFill>
        </w:rPr>
        <w:t>米路东。）</w:t>
      </w:r>
    </w:p>
    <w:p w14:paraId="28D5A5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窗口</w:t>
      </w:r>
      <w:r>
        <w:rPr>
          <w:rFonts w:hint="eastAsia" w:ascii="黑体" w:hAnsi="黑体" w:eastAsia="黑体" w:cs="黑体"/>
          <w:color w:val="000000" w:themeColor="text1"/>
          <w:sz w:val="32"/>
          <w:szCs w:val="32"/>
          <w:lang w:val="en-US" w:eastAsia="zh-CN"/>
          <w14:textFill>
            <w14:solidFill>
              <w14:schemeClr w14:val="tx1"/>
            </w14:solidFill>
          </w14:textFill>
        </w:rPr>
        <w:t>审核时须携带的资料</w:t>
      </w:r>
    </w:p>
    <w:p w14:paraId="28DB3E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申报资料</w:t>
      </w:r>
      <w:r>
        <w:rPr>
          <w:rFonts w:hint="eastAsia" w:ascii="仿宋_GB2312" w:hAnsi="仿宋_GB2312" w:eastAsia="仿宋_GB2312" w:cs="仿宋_GB2312"/>
          <w:color w:val="000000" w:themeColor="text1"/>
          <w:sz w:val="32"/>
          <w:szCs w:val="32"/>
          <w14:textFill>
            <w14:solidFill>
              <w14:schemeClr w14:val="tx1"/>
            </w14:solidFill>
          </w14:textFill>
        </w:rPr>
        <w:t>真实性承诺书》（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加盖公章</w:t>
      </w:r>
      <w:r>
        <w:rPr>
          <w:rFonts w:hint="eastAsia" w:ascii="仿宋_GB2312" w:hAnsi="仿宋_GB2312" w:eastAsia="仿宋_GB2312" w:cs="仿宋_GB2312"/>
          <w:color w:val="000000" w:themeColor="text1"/>
          <w:sz w:val="32"/>
          <w:szCs w:val="32"/>
          <w14:textFill>
            <w14:solidFill>
              <w14:schemeClr w14:val="tx1"/>
            </w14:solidFill>
          </w14:textFill>
        </w:rPr>
        <w:t>）。</w:t>
      </w:r>
    </w:p>
    <w:p w14:paraId="7B3480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《中华人民共和国残疾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证》或《中华人民共和国残疾军人证》（1至8级）。</w:t>
      </w:r>
    </w:p>
    <w:p w14:paraId="67618B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残疾职工上年度养老保险缴费情况证明。</w:t>
      </w:r>
    </w:p>
    <w:p w14:paraId="421C30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残疾职工上年度医疗保险缴费情况证明。</w:t>
      </w:r>
    </w:p>
    <w:p w14:paraId="2E4D4B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用人单位上年度通过金融机构向残疾职工支付工资</w:t>
      </w:r>
      <w:r>
        <w:rPr>
          <w:rFonts w:hint="eastAsia" w:ascii="仿宋_GB2312" w:hAnsi="仿宋_GB2312" w:eastAsia="仿宋_GB2312" w:cs="仿宋_GB2312"/>
          <w:color w:val="000000" w:themeColor="text1"/>
          <w:sz w:val="32"/>
          <w:szCs w:val="32"/>
          <w14:textFill>
            <w14:solidFill>
              <w14:schemeClr w14:val="tx1"/>
            </w14:solidFill>
          </w14:textFill>
        </w:rPr>
        <w:t>证明。</w:t>
      </w:r>
    </w:p>
    <w:p w14:paraId="1F6005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注：材料2至5，系统无法自动校验，现场需提供。</w:t>
      </w:r>
    </w:p>
    <w:p w14:paraId="7CF07F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残疾职工的入职材料（复印件1份，如：在编证明或劳动合同）。</w:t>
      </w:r>
    </w:p>
    <w:p w14:paraId="61B32C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残疾人劳务派遣用工认定协议（存在残疾人劳务派遣情况时需提供）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88D1105">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资料下载网址：</w:t>
      </w:r>
      <w:r>
        <w:rPr>
          <w:rFonts w:hint="eastAsia" w:ascii="仿宋_GB2312" w:hAnsi="仿宋_GB2312" w:eastAsia="仿宋_GB2312" w:cs="仿宋_GB2312"/>
          <w:color w:val="000000" w:themeColor="text1"/>
          <w:sz w:val="32"/>
          <w:szCs w:val="32"/>
          <w14:textFill>
            <w14:solidFill>
              <w14:schemeClr w14:val="tx1"/>
            </w14:solidFill>
          </w14:textFill>
        </w:rPr>
        <w:t>济南市残疾人劳动就业服务中心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"http://www.jncjrjy.cn" </w:instrText>
      </w:r>
      <w:r>
        <w:rPr>
          <w:color w:val="000000" w:themeColor="text1"/>
          <w14:textFill>
            <w14:solidFill>
              <w14:schemeClr w14:val="tx1"/>
            </w14:solidFill>
          </w14:textFill>
        </w:rPr>
        <w:fldChar w:fldCharType="separate"/>
      </w:r>
      <w:r>
        <w:rPr>
          <w:rStyle w:val="6"/>
          <w:rFonts w:ascii="仿宋" w:hAnsi="仿宋" w:eastAsia="仿宋"/>
          <w:color w:val="000000" w:themeColor="text1"/>
          <w:sz w:val="32"/>
          <w:szCs w:val="32"/>
          <w14:textFill>
            <w14:solidFill>
              <w14:schemeClr w14:val="tx1"/>
            </w14:solidFill>
          </w14:textFill>
        </w:rPr>
        <w:t>http://www.jncjrjy.cn</w:t>
      </w:r>
      <w:r>
        <w:rPr>
          <w:rStyle w:val="6"/>
          <w:rFonts w:ascii="仿宋" w:hAnsi="仿宋" w:eastAsia="仿宋"/>
          <w:color w:val="000000" w:themeColor="text1"/>
          <w:sz w:val="32"/>
          <w:szCs w:val="32"/>
          <w14:textFill>
            <w14:solidFill>
              <w14:schemeClr w14:val="tx1"/>
            </w14:solidFill>
          </w14:textFill>
        </w:rPr>
        <w:fldChar w:fldCharType="end"/>
      </w:r>
      <w:r>
        <w:rPr>
          <w:rStyle w:val="6"/>
          <w:rFonts w:hint="eastAsia" w:ascii="仿宋_GB2312" w:hAnsi="仿宋_GB2312" w:eastAsia="仿宋_GB2312" w:cs="仿宋_GB2312"/>
          <w:color w:val="000000" w:themeColor="text1"/>
          <w:sz w:val="32"/>
          <w:szCs w:val="32"/>
          <w:u w:val="none"/>
          <w14:textFill>
            <w14:solidFill>
              <w14:schemeClr w14:val="tx1"/>
            </w14:solidFill>
          </w14:textFill>
        </w:rPr>
        <w:t>点击资料下载即可。</w:t>
      </w:r>
      <w:r>
        <w:rPr>
          <w:rStyle w:val="6"/>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或者加入槐荫区残疾人按比例就业联网认证审核QQ群383022695,群文件下载即可。</w:t>
      </w:r>
    </w:p>
    <w:p w14:paraId="3C80066C">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宋体" w:hAnsi="宋体" w:cs="宋体"/>
          <w:b/>
          <w:bCs/>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kern w:val="0"/>
          <w:sz w:val="32"/>
          <w:szCs w:val="32"/>
          <w14:textFill>
            <w14:solidFill>
              <w14:schemeClr w14:val="tx1"/>
            </w14:solidFill>
          </w14:textFill>
        </w:rPr>
        <w:t>相关说明</w:t>
      </w:r>
      <w:r>
        <w:rPr>
          <w:rFonts w:hint="eastAsia" w:ascii="宋体" w:hAnsi="宋体" w:cs="宋体"/>
          <w:b/>
          <w:bCs/>
          <w:color w:val="000000" w:themeColor="text1"/>
          <w:kern w:val="0"/>
          <w:sz w:val="32"/>
          <w:szCs w:val="32"/>
          <w14:textFill>
            <w14:solidFill>
              <w14:schemeClr w14:val="tx1"/>
            </w14:solidFill>
          </w14:textFill>
        </w:rPr>
        <w:t> </w:t>
      </w:r>
    </w:p>
    <w:p w14:paraId="672CB541">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1.2024年度</w:t>
      </w:r>
      <w:r>
        <w:rPr>
          <w:rFonts w:hint="eastAsia" w:ascii="仿宋_GB2312" w:hAnsi="仿宋_GB2312" w:eastAsia="仿宋_GB2312" w:cs="仿宋_GB2312"/>
          <w:color w:val="000000" w:themeColor="text1"/>
          <w:kern w:val="0"/>
          <w:sz w:val="32"/>
          <w:szCs w:val="32"/>
          <w14:textFill>
            <w14:solidFill>
              <w14:schemeClr w14:val="tx1"/>
            </w14:solidFill>
          </w14:textFill>
        </w:rPr>
        <w:t>安排有残疾人就业的用人单位如在规定时限未申报的，视为未安排残疾人就业，由税务机关按规定征收残疾人就业保障金；未安排有残疾人就业的，直接向税务机关申报缴纳残疾人就业保障金，不需要进行安置残疾人就业审核认定。</w:t>
      </w:r>
    </w:p>
    <w:p w14:paraId="73F13BFE">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2.用人单位、劳务派遣机构及其工作人员应如实填报相关信息，并保证提供的材料真实有效，</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存在弄虚作假行为的，要承担相关法律责任。</w:t>
      </w:r>
    </w:p>
    <w:p w14:paraId="63CC97CA">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3.用人单位网上申报通过后，可登录系统了解办理状态和审核结果，如无异议需及时点击“完成申报”，否则审核信息无法发送至税务部门。</w:t>
      </w:r>
    </w:p>
    <w:p w14:paraId="55185621">
      <w:pPr>
        <w:keepNext w:val="0"/>
        <w:keepLines w:val="0"/>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4.在“山东省残疾人联合会”网站（www.sddpf.org.cn），首页“办事服务”下点击“就业申报”，可下载相关帮助文件。</w:t>
      </w:r>
    </w:p>
    <w:p w14:paraId="56F12DD8">
      <w:pPr>
        <w:adjustRightInd w:val="0"/>
        <w:snapToGrid w:val="0"/>
        <w:spacing w:after="0" w:line="560" w:lineRule="exact"/>
        <w:rPr>
          <w:rFonts w:hint="eastAsia" w:ascii="仿宋" w:hAnsi="仿宋" w:eastAsia="仿宋" w:cs="仿宋"/>
          <w:b/>
          <w:bCs/>
          <w:sz w:val="32"/>
          <w:szCs w:val="32"/>
          <w:lang w:val="en-US" w:eastAsia="zh-CN"/>
        </w:rPr>
      </w:pPr>
    </w:p>
    <w:p w14:paraId="1DE26281">
      <w:pPr>
        <w:adjustRightInd w:val="0"/>
        <w:snapToGrid w:val="0"/>
        <w:spacing w:after="0" w:line="560" w:lineRule="exact"/>
        <w:rPr>
          <w:rFonts w:hint="eastAsia" w:ascii="仿宋" w:hAnsi="仿宋" w:eastAsia="仿宋" w:cs="仿宋"/>
          <w:b/>
          <w:bCs/>
          <w:sz w:val="32"/>
          <w:szCs w:val="32"/>
          <w:lang w:val="en-US" w:eastAsia="zh-CN"/>
        </w:rPr>
      </w:pPr>
    </w:p>
    <w:p w14:paraId="4895EDE1">
      <w:pPr>
        <w:adjustRightInd w:val="0"/>
        <w:snapToGrid w:val="0"/>
        <w:spacing w:after="0" w:line="560" w:lineRule="exact"/>
        <w:rPr>
          <w:rFonts w:hint="eastAsia" w:ascii="仿宋" w:hAnsi="仿宋" w:eastAsia="仿宋" w:cs="仿宋"/>
          <w:b/>
          <w:bCs/>
          <w:sz w:val="32"/>
          <w:szCs w:val="32"/>
          <w:lang w:val="en-US" w:eastAsia="zh-CN"/>
        </w:rPr>
      </w:pPr>
    </w:p>
    <w:p w14:paraId="2CEFF3C5">
      <w:pPr>
        <w:adjustRightInd w:val="0"/>
        <w:snapToGrid w:val="0"/>
        <w:spacing w:after="0" w:line="560" w:lineRule="exact"/>
        <w:rPr>
          <w:rFonts w:hint="eastAsia" w:ascii="仿宋" w:hAnsi="仿宋" w:eastAsia="仿宋" w:cs="仿宋"/>
          <w:b/>
          <w:bCs/>
          <w:sz w:val="32"/>
          <w:szCs w:val="32"/>
          <w:lang w:val="en-US" w:eastAsia="zh-CN"/>
        </w:rPr>
      </w:pPr>
    </w:p>
    <w:p w14:paraId="4F774668">
      <w:pPr>
        <w:adjustRightInd w:val="0"/>
        <w:snapToGrid w:val="0"/>
        <w:spacing w:after="0" w:line="560" w:lineRule="exact"/>
        <w:rPr>
          <w:rFonts w:hint="eastAsia" w:ascii="仿宋_GB2312" w:hAnsi="仿宋_GB2312" w:eastAsia="仿宋_GB2312" w:cs="仿宋_GB2312"/>
          <w:b w:val="0"/>
          <w:bCs w:val="0"/>
          <w:sz w:val="32"/>
          <w:szCs w:val="32"/>
          <w:lang w:val="en-US" w:eastAsia="zh-CN"/>
        </w:rPr>
      </w:pPr>
    </w:p>
    <w:p w14:paraId="464AC2CA">
      <w:pPr>
        <w:adjustRightInd w:val="0"/>
        <w:snapToGrid w:val="0"/>
        <w:spacing w:after="0" w:line="560" w:lineRule="exact"/>
        <w:rPr>
          <w:rFonts w:hint="eastAsia" w:ascii="仿宋_GB2312" w:hAnsi="仿宋_GB2312" w:eastAsia="仿宋_GB2312" w:cs="仿宋_GB2312"/>
          <w:b w:val="0"/>
          <w:bCs w:val="0"/>
          <w:sz w:val="32"/>
          <w:szCs w:val="32"/>
          <w:lang w:val="en-US" w:eastAsia="zh-CN"/>
        </w:rPr>
      </w:pPr>
    </w:p>
    <w:p w14:paraId="28347177">
      <w:pPr>
        <w:adjustRightInd w:val="0"/>
        <w:snapToGrid w:val="0"/>
        <w:spacing w:after="0" w:line="560" w:lineRule="exact"/>
        <w:rPr>
          <w:rFonts w:hint="eastAsia" w:ascii="仿宋_GB2312" w:hAnsi="仿宋_GB2312" w:eastAsia="仿宋_GB2312" w:cs="仿宋_GB2312"/>
          <w:b w:val="0"/>
          <w:bCs w:val="0"/>
          <w:sz w:val="32"/>
          <w:szCs w:val="32"/>
          <w:lang w:val="en-US" w:eastAsia="zh-CN"/>
        </w:rPr>
      </w:pPr>
    </w:p>
    <w:p w14:paraId="1397FE59">
      <w:pPr>
        <w:adjustRightInd w:val="0"/>
        <w:snapToGrid w:val="0"/>
        <w:spacing w:after="0" w:line="560" w:lineRule="exact"/>
        <w:rPr>
          <w:rFonts w:hint="eastAsia" w:ascii="仿宋_GB2312" w:hAnsi="仿宋_GB2312" w:eastAsia="仿宋_GB2312" w:cs="仿宋_GB2312"/>
          <w:b w:val="0"/>
          <w:bCs w:val="0"/>
          <w:sz w:val="32"/>
          <w:szCs w:val="32"/>
          <w:lang w:val="en-US" w:eastAsia="zh-CN"/>
        </w:rPr>
      </w:pPr>
    </w:p>
    <w:p w14:paraId="0C10EC3B">
      <w:pPr>
        <w:adjustRightInd w:val="0"/>
        <w:snapToGrid w:val="0"/>
        <w:spacing w:after="0" w:line="560" w:lineRule="exact"/>
        <w:rPr>
          <w:rFonts w:hint="eastAsia" w:ascii="仿宋_GB2312" w:hAnsi="仿宋_GB2312" w:eastAsia="仿宋_GB2312" w:cs="仿宋_GB2312"/>
          <w:b w:val="0"/>
          <w:bCs w:val="0"/>
          <w:sz w:val="32"/>
          <w:szCs w:val="32"/>
          <w:lang w:val="en-US" w:eastAsia="zh-CN"/>
        </w:rPr>
      </w:pPr>
    </w:p>
    <w:p w14:paraId="485351B2">
      <w:pPr>
        <w:adjustRightInd w:val="0"/>
        <w:snapToGrid w:val="0"/>
        <w:spacing w:after="0" w:line="560" w:lineRule="exact"/>
        <w:rPr>
          <w:rFonts w:hint="default" w:ascii="仿宋" w:hAnsi="仿宋" w:eastAsia="仿宋" w:cs="仿宋"/>
          <w:sz w:val="32"/>
          <w:szCs w:val="32"/>
          <w:lang w:val="en-US" w:eastAsia="zh-CN"/>
        </w:rPr>
      </w:pP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766F">
    <w:pPr>
      <w:pStyle w:val="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5C13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B5C13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Tk4MmEwYWNiYzIxMTM1YTk5NGFmNDIwODc3ZjEifQ=="/>
    <w:docVar w:name="KSO_WPS_MARK_KEY" w:val="042a20ef-a58e-45d3-8a01-568790b18e05"/>
  </w:docVars>
  <w:rsids>
    <w:rsidRoot w:val="45F0184C"/>
    <w:rsid w:val="03232B43"/>
    <w:rsid w:val="047563BF"/>
    <w:rsid w:val="066833E1"/>
    <w:rsid w:val="09DD51E1"/>
    <w:rsid w:val="1154735C"/>
    <w:rsid w:val="18094EC6"/>
    <w:rsid w:val="18B2397F"/>
    <w:rsid w:val="1A573738"/>
    <w:rsid w:val="1DD97578"/>
    <w:rsid w:val="24096004"/>
    <w:rsid w:val="27D33279"/>
    <w:rsid w:val="28C055AB"/>
    <w:rsid w:val="2C484235"/>
    <w:rsid w:val="31F65516"/>
    <w:rsid w:val="334628F9"/>
    <w:rsid w:val="357A749D"/>
    <w:rsid w:val="35CE4BCE"/>
    <w:rsid w:val="38BA7394"/>
    <w:rsid w:val="3F4F16B1"/>
    <w:rsid w:val="400B425C"/>
    <w:rsid w:val="44BC28D1"/>
    <w:rsid w:val="45024586"/>
    <w:rsid w:val="45F0184C"/>
    <w:rsid w:val="4D5E527A"/>
    <w:rsid w:val="55631913"/>
    <w:rsid w:val="56FD5AD2"/>
    <w:rsid w:val="5AD86B1A"/>
    <w:rsid w:val="5D046C13"/>
    <w:rsid w:val="615E2D09"/>
    <w:rsid w:val="61742C47"/>
    <w:rsid w:val="629776F7"/>
    <w:rsid w:val="635602DE"/>
    <w:rsid w:val="6CD802F2"/>
    <w:rsid w:val="70AB7837"/>
    <w:rsid w:val="75970A0E"/>
    <w:rsid w:val="7A53031B"/>
    <w:rsid w:val="7C6F7C71"/>
    <w:rsid w:val="7DCE6F97"/>
    <w:rsid w:val="7F71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1061</Words>
  <Characters>1224</Characters>
  <Lines>0</Lines>
  <Paragraphs>0</Paragraphs>
  <TotalTime>0</TotalTime>
  <ScaleCrop>false</ScaleCrop>
  <LinksUpToDate>false</LinksUpToDate>
  <CharactersWithSpaces>1237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2024-03-15T02:44:00Z</dcterms:created>
  <dc:creator>星辰绮梦</dc:creator>
  <cp:lastModifiedBy>星辰绮梦</cp:lastModifiedBy>
  <dcterms:modified xsi:type="dcterms:W3CDTF">2025-03-04T01:43:49Z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C60EA9EB51C34ADE9717631C8D2907A8_13</vt:lpwstr>
  </property>
  <property fmtid="{D5CDD505-2E9C-101B-9397-08002B2CF9AE}" pid="4" name="KSOTemplateDocerSaveRecord">
    <vt:lpwstr>eyJoZGlkIjoiODA5ZTY4YzVlNzNkM2I0ZDg2YjcxY2UzN2VjOTY5NWEiLCJ1c2VySWQiOiIyNTUzMDI5NzAifQ==</vt:lpwstr>
  </property>
</Properties>
</file>